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9CE" w:rsidRDefault="00DD19CE" w:rsidP="00DD19CE">
      <w:r w:rsidRPr="00DD19CE">
        <w:t>The document presents the results of resilient modulus and uniaxial compressive strength tests conducted on twelve PLDCC samples grouped by batch.</w:t>
      </w:r>
    </w:p>
    <w:p w:rsidR="00DD19CE" w:rsidRDefault="00DD19CE" w:rsidP="00DD19CE">
      <w:pPr>
        <w:rPr>
          <w:b/>
          <w:bCs/>
          <w:u w:val="single"/>
        </w:rPr>
      </w:pPr>
      <w:bookmarkStart w:id="0" w:name="_Toc138187729"/>
      <w:r w:rsidRPr="00DD19CE">
        <w:rPr>
          <w:b/>
          <w:bCs/>
          <w:u w:val="single"/>
        </w:rPr>
        <w:t>Resilient Modulus Tests</w:t>
      </w:r>
      <w:bookmarkEnd w:id="0"/>
    </w:p>
    <w:p w:rsidR="0050417A" w:rsidRPr="00DD19CE" w:rsidRDefault="0050417A" w:rsidP="00DD19CE">
      <w:pPr>
        <w:rPr>
          <w:b/>
          <w:bCs/>
          <w:u w:val="single"/>
        </w:rPr>
      </w:pPr>
      <w:r>
        <w:t>The Resilient Modulus (RM) is the ratio of axial cyclic stress to recoverable strain, determined through cyclic stress-controlled triaxial tests. These tests apply a fixed stress for 0.1 seconds, followed by a 0.9-second rest period, under low confining pressures that simulate real-world conditions (Table 2). RM testing can also assess the effects of moisture content, density, and temperature (</w:t>
      </w:r>
      <w:proofErr w:type="spellStart"/>
      <w:r>
        <w:t>Bennert</w:t>
      </w:r>
      <w:proofErr w:type="spellEnd"/>
      <w:r>
        <w:t xml:space="preserve"> &amp; Maher, 2005), though this study did not examine these factors. Instead, PLDCC samples of varying dry densities were tested using the AASHTO TP46-94 testing sequence.</w:t>
      </w:r>
    </w:p>
    <w:p w:rsidR="00DD19CE" w:rsidRPr="00DD19CE" w:rsidRDefault="00DD19CE" w:rsidP="00DD19CE">
      <w:r w:rsidRPr="00DD19CE">
        <w:t xml:space="preserve">The Resilient Modulus can be represented in terms of Bulk Stress, which is obtained by dividing the </w:t>
      </w:r>
      <w:r>
        <w:t xml:space="preserve">stress </w:t>
      </w:r>
      <w:r w:rsidRPr="00DD19CE">
        <w:t>acting on the sample</w:t>
      </w:r>
      <w:r>
        <w:t xml:space="preserve"> using</w:t>
      </w:r>
      <w:r w:rsidRPr="00DD19CE">
        <w:t xml:space="preserve"> the following:</w:t>
      </w:r>
    </w:p>
    <w:tbl>
      <w:tblPr>
        <w:tblStyle w:val="TableGrid"/>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810"/>
        <w:gridCol w:w="3111"/>
        <w:gridCol w:w="2414"/>
      </w:tblGrid>
      <w:tr w:rsidR="00DD19CE" w:rsidRPr="00DD19CE" w:rsidTr="007B2A7B">
        <w:trPr>
          <w:trHeight w:val="20"/>
        </w:trPr>
        <w:tc>
          <w:tcPr>
            <w:tcW w:w="3110" w:type="dxa"/>
            <w:gridSpan w:val="2"/>
          </w:tcPr>
          <w:p w:rsidR="00DD19CE" w:rsidRPr="00DD19CE" w:rsidRDefault="00DD19CE" w:rsidP="00DD19CE">
            <w:pPr>
              <w:spacing w:after="160" w:line="259" w:lineRule="auto"/>
            </w:pPr>
          </w:p>
        </w:tc>
        <w:tc>
          <w:tcPr>
            <w:tcW w:w="3111" w:type="dxa"/>
          </w:tcPr>
          <w:p w:rsidR="00DD19CE" w:rsidRPr="00DD19CE" w:rsidRDefault="00DD19CE" w:rsidP="00DD19CE">
            <w:pPr>
              <w:spacing w:after="160" w:line="259" w:lineRule="auto"/>
            </w:pPr>
            <m:oMath>
              <m:r>
                <w:rPr>
                  <w:rFonts w:ascii="Cambria Math" w:hAnsi="Cambria Math"/>
                </w:rPr>
                <m:t xml:space="preserve">MR= </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p>
                <m:sSupPr>
                  <m:ctrlPr>
                    <w:rPr>
                      <w:rFonts w:ascii="Cambria Math" w:hAnsi="Cambria Math"/>
                      <w:lang w:val="el-GR"/>
                    </w:rPr>
                  </m:ctrlPr>
                </m:sSupPr>
                <m:e>
                  <m:r>
                    <m:rPr>
                      <m:sty m:val="p"/>
                    </m:rPr>
                    <w:rPr>
                      <w:rFonts w:ascii="Cambria Math" w:hAnsi="Cambria Math"/>
                      <w:lang w:val="el-GR"/>
                    </w:rPr>
                    <m:t>θ</m:t>
                  </m:r>
                </m:e>
                <m:sup>
                  <m:sSub>
                    <m:sSubPr>
                      <m:ctrlPr>
                        <w:rPr>
                          <w:rFonts w:ascii="Cambria Math" w:hAnsi="Cambria Math"/>
                          <w:i/>
                          <w:lang w:val="el-GR"/>
                        </w:rPr>
                      </m:ctrlPr>
                    </m:sSubPr>
                    <m:e>
                      <m:r>
                        <w:rPr>
                          <w:rFonts w:ascii="Cambria Math" w:hAnsi="Cambria Math"/>
                          <w:lang w:val="el-GR"/>
                        </w:rPr>
                        <m:t>K</m:t>
                      </m:r>
                    </m:e>
                    <m:sub>
                      <m:r>
                        <w:rPr>
                          <w:rFonts w:ascii="Cambria Math" w:hAnsi="Cambria Math"/>
                          <w:lang w:val="el-GR"/>
                        </w:rPr>
                        <m:t>2</m:t>
                      </m:r>
                    </m:sub>
                  </m:sSub>
                </m:sup>
              </m:sSup>
            </m:oMath>
            <w:r w:rsidRPr="00DD19CE">
              <w:t xml:space="preserve"> </w:t>
            </w:r>
          </w:p>
        </w:tc>
        <w:tc>
          <w:tcPr>
            <w:tcW w:w="2414" w:type="dxa"/>
          </w:tcPr>
          <w:p w:rsidR="00DD19CE" w:rsidRPr="00DD19CE" w:rsidRDefault="00DD19CE" w:rsidP="00DD19CE">
            <w:pPr>
              <w:spacing w:after="160" w:line="259" w:lineRule="auto"/>
              <w:ind w:firstLine="1380"/>
            </w:pPr>
            <w:r w:rsidRPr="00DD19CE">
              <w:t>[Eq. 1]</w:t>
            </w:r>
          </w:p>
        </w:tc>
      </w:tr>
      <w:tr w:rsidR="00DD19CE" w:rsidRPr="00DD19CE" w:rsidTr="007B2A7B">
        <w:trPr>
          <w:trHeight w:val="20"/>
        </w:trPr>
        <w:tc>
          <w:tcPr>
            <w:tcW w:w="2300" w:type="dxa"/>
          </w:tcPr>
          <w:p w:rsidR="00DD19CE" w:rsidRPr="00DD19CE" w:rsidRDefault="00DD19CE" w:rsidP="00DD19CE">
            <w:pPr>
              <w:spacing w:after="160" w:line="259" w:lineRule="auto"/>
            </w:pPr>
            <w:r>
              <w:t>w</w:t>
            </w:r>
            <w:r w:rsidRPr="00DD19CE">
              <w:t>here:</w:t>
            </w:r>
          </w:p>
        </w:tc>
        <w:tc>
          <w:tcPr>
            <w:tcW w:w="6335" w:type="dxa"/>
            <w:gridSpan w:val="3"/>
          </w:tcPr>
          <w:p w:rsidR="00DD19CE" w:rsidRPr="00DD19CE" w:rsidRDefault="00DD19CE" w:rsidP="00DD19CE">
            <w:pPr>
              <w:spacing w:after="160" w:line="259" w:lineRule="auto"/>
            </w:pPr>
            <w:r w:rsidRPr="00DD19CE">
              <w:t>MR = Resilient Modulus (MPa)</w:t>
            </w:r>
          </w:p>
        </w:tc>
      </w:tr>
      <w:tr w:rsidR="00DD19CE" w:rsidRPr="00DD19CE" w:rsidTr="007B2A7B">
        <w:trPr>
          <w:trHeight w:val="20"/>
        </w:trPr>
        <w:tc>
          <w:tcPr>
            <w:tcW w:w="2300" w:type="dxa"/>
          </w:tcPr>
          <w:p w:rsidR="00DD19CE" w:rsidRPr="00DD19CE" w:rsidRDefault="00DD19CE" w:rsidP="00DD19CE">
            <w:pPr>
              <w:spacing w:after="160" w:line="259" w:lineRule="auto"/>
            </w:pPr>
          </w:p>
        </w:tc>
        <w:tc>
          <w:tcPr>
            <w:tcW w:w="6335" w:type="dxa"/>
            <w:gridSpan w:val="3"/>
          </w:tcPr>
          <w:p w:rsidR="00DD19CE" w:rsidRPr="00DD19CE" w:rsidRDefault="00DD19CE" w:rsidP="00DD19CE">
            <w:pPr>
              <w:spacing w:after="160" w:line="259" w:lineRule="auto"/>
            </w:pPr>
            <w:r w:rsidRPr="00DD19CE">
              <w:rPr>
                <w:lang w:val="el-GR"/>
              </w:rPr>
              <w:t>Θ</w:t>
            </w:r>
            <w:r w:rsidRPr="00DD19CE">
              <w:t xml:space="preserve"> = Bulk Stress (kPa) =</w:t>
            </w:r>
            <w:r w:rsidRPr="00DD19CE">
              <w:rPr>
                <w:rFonts w:ascii="Symbol" w:hAnsi="Symbol"/>
              </w:rPr>
              <w:t></w:t>
            </w:r>
            <w:r w:rsidRPr="00DD19CE">
              <w:rPr>
                <w:rFonts w:ascii="Symbol" w:hAnsi="Symbol"/>
              </w:rPr>
              <w:t></w:t>
            </w:r>
            <w:r w:rsidRPr="00DD19CE">
              <w:rPr>
                <w:vertAlign w:val="subscript"/>
              </w:rPr>
              <w:t>1</w:t>
            </w:r>
            <w:r w:rsidRPr="00DD19CE">
              <w:t>+</w:t>
            </w:r>
            <w:r w:rsidRPr="00DD19CE">
              <w:rPr>
                <w:rFonts w:ascii="Symbol" w:hAnsi="Symbol"/>
              </w:rPr>
              <w:t></w:t>
            </w:r>
            <w:r w:rsidRPr="00DD19CE">
              <w:rPr>
                <w:rFonts w:ascii="Symbol" w:hAnsi="Symbol"/>
              </w:rPr>
              <w:t></w:t>
            </w:r>
            <w:r w:rsidRPr="00DD19CE">
              <w:rPr>
                <w:vertAlign w:val="subscript"/>
              </w:rPr>
              <w:t xml:space="preserve"> 2</w:t>
            </w:r>
            <w:r w:rsidRPr="00DD19CE">
              <w:t>+</w:t>
            </w:r>
            <w:r w:rsidRPr="00DD19CE">
              <w:rPr>
                <w:rFonts w:ascii="Symbol" w:hAnsi="Symbol"/>
              </w:rPr>
              <w:t></w:t>
            </w:r>
            <w:r w:rsidRPr="00DD19CE">
              <w:rPr>
                <w:rFonts w:ascii="Symbol" w:hAnsi="Symbol"/>
              </w:rPr>
              <w:t></w:t>
            </w:r>
            <w:r w:rsidRPr="00DD19CE">
              <w:rPr>
                <w:vertAlign w:val="subscript"/>
              </w:rPr>
              <w:t xml:space="preserve"> 3</w:t>
            </w:r>
          </w:p>
        </w:tc>
      </w:tr>
    </w:tbl>
    <w:p w:rsidR="00547C86" w:rsidRDefault="00547C86" w:rsidP="00547C86"/>
    <w:p w:rsidR="00547C86" w:rsidRPr="00547C86" w:rsidRDefault="00547C86" w:rsidP="00547C86">
      <w:pPr>
        <w:rPr>
          <w:vanish/>
        </w:rPr>
      </w:pPr>
      <w:r w:rsidRPr="00547C86">
        <w:t xml:space="preserve">Table </w:t>
      </w:r>
    </w:p>
    <w:p w:rsidR="00547C86" w:rsidRPr="00547C86" w:rsidRDefault="00547C86" w:rsidP="00547C86">
      <w:bookmarkStart w:id="1" w:name="_Toc138187795"/>
      <w:r w:rsidRPr="00547C86">
        <w:t>4. Resilient Modulus equation of different subbase materials.</w:t>
      </w:r>
      <w:bookmarkEnd w:id="1"/>
      <w:r w:rsidRPr="00547C86">
        <w:t xml:space="preserve"> </w:t>
      </w:r>
    </w:p>
    <w:tbl>
      <w:tblPr>
        <w:tblW w:w="6402" w:type="dxa"/>
        <w:jc w:val="center"/>
        <w:tblBorders>
          <w:top w:val="single" w:sz="8" w:space="0" w:color="000000"/>
          <w:bottom w:val="single" w:sz="8" w:space="0" w:color="000000"/>
        </w:tblBorders>
        <w:tblLook w:val="04A0" w:firstRow="1" w:lastRow="0" w:firstColumn="1" w:lastColumn="0" w:noHBand="0" w:noVBand="1"/>
      </w:tblPr>
      <w:tblGrid>
        <w:gridCol w:w="3090"/>
        <w:gridCol w:w="1863"/>
        <w:gridCol w:w="1449"/>
      </w:tblGrid>
      <w:tr w:rsidR="00547C86" w:rsidRPr="00547C86" w:rsidTr="00547C86">
        <w:trPr>
          <w:trHeight w:val="16"/>
          <w:jc w:val="center"/>
        </w:trPr>
        <w:tc>
          <w:tcPr>
            <w:tcW w:w="3312" w:type="dxa"/>
            <w:tcBorders>
              <w:top w:val="single" w:sz="8" w:space="0" w:color="000000"/>
              <w:bottom w:val="single" w:sz="8" w:space="0" w:color="000000"/>
            </w:tcBorders>
            <w:shd w:val="clear" w:color="auto" w:fill="auto"/>
            <w:vAlign w:val="bottom"/>
          </w:tcPr>
          <w:p w:rsidR="00547C86" w:rsidRPr="00547C86" w:rsidRDefault="00547C86" w:rsidP="00547C86">
            <w:pPr>
              <w:rPr>
                <w:b/>
                <w:bCs/>
              </w:rPr>
            </w:pPr>
            <w:r w:rsidRPr="00547C86">
              <w:rPr>
                <w:b/>
                <w:bCs/>
              </w:rPr>
              <w:t>Subbase Material</w:t>
            </w:r>
          </w:p>
        </w:tc>
        <w:tc>
          <w:tcPr>
            <w:tcW w:w="3090" w:type="dxa"/>
            <w:gridSpan w:val="2"/>
            <w:tcBorders>
              <w:top w:val="single" w:sz="8" w:space="0" w:color="000000"/>
              <w:bottom w:val="single" w:sz="8" w:space="0" w:color="000000"/>
            </w:tcBorders>
            <w:shd w:val="clear" w:color="auto" w:fill="auto"/>
            <w:vAlign w:val="bottom"/>
          </w:tcPr>
          <w:p w:rsidR="00547C86" w:rsidRPr="00547C86" w:rsidRDefault="00547C86" w:rsidP="00547C86">
            <w:pPr>
              <w:rPr>
                <w:b/>
                <w:bCs/>
              </w:rPr>
            </w:pPr>
            <w:r w:rsidRPr="00547C86">
              <w:rPr>
                <w:b/>
                <w:bCs/>
              </w:rPr>
              <w:t>Resilient Modulus Equation</w:t>
            </w:r>
          </w:p>
        </w:tc>
      </w:tr>
      <w:tr w:rsidR="00547C86" w:rsidRPr="00547C86" w:rsidTr="00547C86">
        <w:trPr>
          <w:trHeight w:val="365"/>
          <w:jc w:val="center"/>
        </w:trPr>
        <w:tc>
          <w:tcPr>
            <w:tcW w:w="3312" w:type="dxa"/>
            <w:shd w:val="clear" w:color="auto" w:fill="C0C0C0"/>
            <w:vAlign w:val="center"/>
          </w:tcPr>
          <w:p w:rsidR="00547C86" w:rsidRPr="00547C86" w:rsidRDefault="00547C86" w:rsidP="00547C86">
            <w:pPr>
              <w:rPr>
                <w:b/>
                <w:bCs/>
              </w:rPr>
            </w:pPr>
            <w:r w:rsidRPr="00547C86">
              <w:rPr>
                <w:b/>
                <w:bCs/>
              </w:rPr>
              <w:t>Stone dust</w:t>
            </w:r>
          </w:p>
        </w:tc>
        <w:tc>
          <w:tcPr>
            <w:tcW w:w="1545" w:type="dxa"/>
            <w:tcBorders>
              <w:left w:val="nil"/>
              <w:right w:val="nil"/>
            </w:tcBorders>
            <w:shd w:val="clear" w:color="auto" w:fill="C0C0C0"/>
            <w:vAlign w:val="center"/>
          </w:tcPr>
          <w:p w:rsidR="00547C86" w:rsidRPr="00547C86" w:rsidRDefault="00547C86" w:rsidP="00547C86">
            <w:r w:rsidRPr="00547C86">
              <w:t>MR=57.566*</w:t>
            </w:r>
            <w:r w:rsidRPr="00547C86">
              <w:rPr>
                <w:lang w:val="el-GR"/>
              </w:rPr>
              <w:t>θ</w:t>
            </w:r>
            <w:r w:rsidRPr="00547C86">
              <w:rPr>
                <w:vertAlign w:val="superscript"/>
              </w:rPr>
              <w:t>0.0911</w:t>
            </w:r>
          </w:p>
        </w:tc>
        <w:tc>
          <w:tcPr>
            <w:tcW w:w="1545" w:type="dxa"/>
            <w:tcBorders>
              <w:left w:val="nil"/>
              <w:right w:val="nil"/>
            </w:tcBorders>
            <w:shd w:val="clear" w:color="auto" w:fill="C0C0C0"/>
            <w:vAlign w:val="center"/>
          </w:tcPr>
          <w:p w:rsidR="00547C86" w:rsidRPr="00547C86" w:rsidRDefault="00547C86" w:rsidP="00547C86">
            <w:r w:rsidRPr="00547C86">
              <w:t>[Eq. 5]</w:t>
            </w:r>
          </w:p>
        </w:tc>
      </w:tr>
      <w:tr w:rsidR="00547C86" w:rsidRPr="00547C86" w:rsidTr="00547C86">
        <w:trPr>
          <w:trHeight w:val="365"/>
          <w:jc w:val="center"/>
        </w:trPr>
        <w:tc>
          <w:tcPr>
            <w:tcW w:w="3312" w:type="dxa"/>
            <w:shd w:val="clear" w:color="auto" w:fill="auto"/>
            <w:vAlign w:val="center"/>
          </w:tcPr>
          <w:p w:rsidR="00547C86" w:rsidRPr="00547C86" w:rsidRDefault="00547C86" w:rsidP="00547C86">
            <w:pPr>
              <w:rPr>
                <w:b/>
                <w:bCs/>
              </w:rPr>
            </w:pPr>
            <w:r w:rsidRPr="00547C86">
              <w:rPr>
                <w:b/>
                <w:bCs/>
              </w:rPr>
              <w:t>Fly Ash</w:t>
            </w:r>
          </w:p>
        </w:tc>
        <w:tc>
          <w:tcPr>
            <w:tcW w:w="1545" w:type="dxa"/>
            <w:shd w:val="clear" w:color="auto" w:fill="auto"/>
            <w:vAlign w:val="center"/>
          </w:tcPr>
          <w:p w:rsidR="00547C86" w:rsidRPr="00547C86" w:rsidRDefault="00547C86" w:rsidP="00547C86">
            <w:r w:rsidRPr="00547C86">
              <w:t>MR=61.011*</w:t>
            </w:r>
            <w:r w:rsidRPr="00547C86">
              <w:rPr>
                <w:lang w:val="el-GR"/>
              </w:rPr>
              <w:t>θ</w:t>
            </w:r>
            <w:r w:rsidRPr="00547C86">
              <w:rPr>
                <w:vertAlign w:val="superscript"/>
              </w:rPr>
              <w:t>0.1169</w:t>
            </w:r>
          </w:p>
        </w:tc>
        <w:tc>
          <w:tcPr>
            <w:tcW w:w="1545" w:type="dxa"/>
            <w:shd w:val="clear" w:color="auto" w:fill="auto"/>
            <w:vAlign w:val="center"/>
          </w:tcPr>
          <w:p w:rsidR="00547C86" w:rsidRPr="00547C86" w:rsidRDefault="00547C86" w:rsidP="00547C86">
            <w:r w:rsidRPr="00547C86">
              <w:t>[Eq. 6]</w:t>
            </w:r>
          </w:p>
        </w:tc>
      </w:tr>
      <w:tr w:rsidR="00547C86" w:rsidRPr="00547C86" w:rsidTr="00547C86">
        <w:trPr>
          <w:trHeight w:val="365"/>
          <w:jc w:val="center"/>
        </w:trPr>
        <w:tc>
          <w:tcPr>
            <w:tcW w:w="3312" w:type="dxa"/>
            <w:shd w:val="clear" w:color="auto" w:fill="C0C0C0"/>
            <w:vAlign w:val="center"/>
          </w:tcPr>
          <w:p w:rsidR="00547C86" w:rsidRPr="00547C86" w:rsidRDefault="00547C86" w:rsidP="00547C86">
            <w:pPr>
              <w:rPr>
                <w:b/>
                <w:bCs/>
              </w:rPr>
            </w:pPr>
            <w:r w:rsidRPr="00547C86">
              <w:rPr>
                <w:b/>
                <w:bCs/>
              </w:rPr>
              <w:t>Coarse sand</w:t>
            </w:r>
          </w:p>
        </w:tc>
        <w:tc>
          <w:tcPr>
            <w:tcW w:w="1545" w:type="dxa"/>
            <w:tcBorders>
              <w:left w:val="nil"/>
              <w:right w:val="nil"/>
            </w:tcBorders>
            <w:shd w:val="clear" w:color="auto" w:fill="C0C0C0"/>
            <w:vAlign w:val="center"/>
          </w:tcPr>
          <w:p w:rsidR="00547C86" w:rsidRPr="00547C86" w:rsidRDefault="00547C86" w:rsidP="00547C86">
            <w:r w:rsidRPr="00547C86">
              <w:t>MR=86.338*</w:t>
            </w:r>
            <w:r w:rsidRPr="00547C86">
              <w:rPr>
                <w:lang w:val="el-GR"/>
              </w:rPr>
              <w:t>θ</w:t>
            </w:r>
            <w:r w:rsidRPr="00547C86">
              <w:rPr>
                <w:vertAlign w:val="superscript"/>
              </w:rPr>
              <w:t>0.0919</w:t>
            </w:r>
          </w:p>
        </w:tc>
        <w:tc>
          <w:tcPr>
            <w:tcW w:w="1545" w:type="dxa"/>
            <w:tcBorders>
              <w:left w:val="nil"/>
              <w:right w:val="nil"/>
            </w:tcBorders>
            <w:shd w:val="clear" w:color="auto" w:fill="C0C0C0"/>
            <w:vAlign w:val="center"/>
          </w:tcPr>
          <w:p w:rsidR="00547C86" w:rsidRPr="00547C86" w:rsidRDefault="00547C86" w:rsidP="00547C86">
            <w:r w:rsidRPr="00547C86">
              <w:t>[Eq. 7]</w:t>
            </w:r>
          </w:p>
        </w:tc>
      </w:tr>
      <w:tr w:rsidR="00547C86" w:rsidRPr="00547C86" w:rsidTr="00547C86">
        <w:trPr>
          <w:trHeight w:val="356"/>
          <w:jc w:val="center"/>
        </w:trPr>
        <w:tc>
          <w:tcPr>
            <w:tcW w:w="3312" w:type="dxa"/>
            <w:shd w:val="clear" w:color="auto" w:fill="auto"/>
            <w:vAlign w:val="center"/>
          </w:tcPr>
          <w:p w:rsidR="00547C86" w:rsidRPr="00547C86" w:rsidRDefault="00547C86" w:rsidP="00547C86">
            <w:pPr>
              <w:rPr>
                <w:b/>
                <w:bCs/>
              </w:rPr>
            </w:pPr>
            <w:r w:rsidRPr="00547C86">
              <w:rPr>
                <w:b/>
                <w:bCs/>
              </w:rPr>
              <w:t>Riverbed material (RBM)</w:t>
            </w:r>
          </w:p>
        </w:tc>
        <w:tc>
          <w:tcPr>
            <w:tcW w:w="1545" w:type="dxa"/>
            <w:shd w:val="clear" w:color="auto" w:fill="auto"/>
            <w:vAlign w:val="center"/>
          </w:tcPr>
          <w:p w:rsidR="00547C86" w:rsidRPr="00547C86" w:rsidRDefault="00547C86" w:rsidP="00547C86">
            <w:r w:rsidRPr="00547C86">
              <w:t>MR=29.515*</w:t>
            </w:r>
            <w:r w:rsidRPr="00547C86">
              <w:rPr>
                <w:lang w:val="el-GR"/>
              </w:rPr>
              <w:t>θ</w:t>
            </w:r>
            <w:r w:rsidRPr="00547C86">
              <w:rPr>
                <w:vertAlign w:val="superscript"/>
              </w:rPr>
              <w:t>0.3369</w:t>
            </w:r>
          </w:p>
        </w:tc>
        <w:tc>
          <w:tcPr>
            <w:tcW w:w="1545" w:type="dxa"/>
            <w:shd w:val="clear" w:color="auto" w:fill="auto"/>
            <w:vAlign w:val="center"/>
          </w:tcPr>
          <w:p w:rsidR="00547C86" w:rsidRPr="00547C86" w:rsidRDefault="00547C86" w:rsidP="00547C86">
            <w:r w:rsidRPr="00547C86">
              <w:t>[Eq. 8]</w:t>
            </w:r>
          </w:p>
        </w:tc>
      </w:tr>
    </w:tbl>
    <w:p w:rsidR="00547C86" w:rsidRPr="00547C86" w:rsidRDefault="00547C86" w:rsidP="00547C86">
      <w:pPr>
        <w:jc w:val="center"/>
      </w:pPr>
      <w:r>
        <w:rPr>
          <w:noProof/>
        </w:rPr>
        <w:lastRenderedPageBreak/>
        <w:drawing>
          <wp:inline distT="0" distB="0" distL="0" distR="0" wp14:anchorId="18B81445" wp14:editId="208A1917">
            <wp:extent cx="4586700" cy="3657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38287" cy="3698737"/>
                    </a:xfrm>
                    <a:prstGeom prst="rect">
                      <a:avLst/>
                    </a:prstGeom>
                  </pic:spPr>
                </pic:pic>
              </a:graphicData>
            </a:graphic>
          </wp:inline>
        </w:drawing>
      </w:r>
    </w:p>
    <w:p w:rsidR="00DD19CE" w:rsidRPr="00DD19CE" w:rsidRDefault="00DD19CE" w:rsidP="00DD19CE"/>
    <w:p w:rsidR="0050417A" w:rsidRPr="0050417A" w:rsidRDefault="00547C86" w:rsidP="0050417A">
      <w:pPr>
        <w:numPr>
          <w:ilvl w:val="0"/>
          <w:numId w:val="1"/>
        </w:numPr>
        <w:rPr>
          <w:b/>
          <w:bCs/>
          <w:vanish/>
        </w:rPr>
      </w:pPr>
      <w:r>
        <w:rPr>
          <w:b/>
          <w:bCs/>
        </w:rPr>
        <w:t>P</w:t>
      </w:r>
      <w:r w:rsidR="0050417A" w:rsidRPr="0050417A">
        <w:rPr>
          <w:rFonts w:ascii="Times New Roman" w:hAnsi="Times New Roman"/>
          <w:sz w:val="24"/>
        </w:rPr>
        <w:t xml:space="preserve"> </w:t>
      </w:r>
      <w:r w:rsidR="0050417A" w:rsidRPr="0050417A">
        <w:rPr>
          <w:b/>
          <w:bCs/>
        </w:rPr>
        <w:t xml:space="preserve">Table </w:t>
      </w:r>
    </w:p>
    <w:p w:rsidR="0050417A" w:rsidRPr="0050417A" w:rsidRDefault="0050417A" w:rsidP="0050417A">
      <w:pPr>
        <w:numPr>
          <w:ilvl w:val="0"/>
          <w:numId w:val="1"/>
        </w:numPr>
        <w:rPr>
          <w:b/>
          <w:bCs/>
        </w:rPr>
      </w:pPr>
      <w:bookmarkStart w:id="2" w:name="_Toc138187796"/>
      <w:r w:rsidRPr="0050417A">
        <w:rPr>
          <w:b/>
          <w:bCs/>
        </w:rPr>
        <w:t>5. Comparison of the resilient Modulus of different subbase materials exposed to field Bulk stresses.</w:t>
      </w:r>
      <w:bookmarkEnd w:id="2"/>
      <w:r w:rsidRPr="0050417A">
        <w:rPr>
          <w:b/>
          <w:bCs/>
        </w:rPr>
        <w:t xml:space="preserve"> </w:t>
      </w:r>
    </w:p>
    <w:tbl>
      <w:tblPr>
        <w:tblW w:w="8636" w:type="dxa"/>
        <w:jc w:val="center"/>
        <w:tblBorders>
          <w:top w:val="single" w:sz="8" w:space="0" w:color="000000"/>
          <w:bottom w:val="single" w:sz="8" w:space="0" w:color="000000"/>
        </w:tblBorders>
        <w:tblLook w:val="04A0" w:firstRow="1" w:lastRow="0" w:firstColumn="1" w:lastColumn="0" w:noHBand="0" w:noVBand="1"/>
        <w:tblCaption w:val="Table 2 This is a sample table"/>
        <w:tblDescription w:val="This table displays the sections within the preliminary pages, their titles, if they are required or not, if the page is included in the manuscript page count, and if the page number is visible on the page. "/>
      </w:tblPr>
      <w:tblGrid>
        <w:gridCol w:w="1896"/>
        <w:gridCol w:w="1658"/>
        <w:gridCol w:w="1779"/>
        <w:gridCol w:w="1524"/>
        <w:gridCol w:w="1779"/>
      </w:tblGrid>
      <w:tr w:rsidR="0050417A" w:rsidRPr="0050417A" w:rsidTr="007B2A7B">
        <w:trPr>
          <w:trHeight w:val="9"/>
          <w:jc w:val="center"/>
        </w:trPr>
        <w:tc>
          <w:tcPr>
            <w:tcW w:w="1951" w:type="dxa"/>
            <w:tcBorders>
              <w:top w:val="single" w:sz="8" w:space="0" w:color="000000"/>
              <w:bottom w:val="single" w:sz="8" w:space="0" w:color="000000"/>
            </w:tcBorders>
            <w:shd w:val="clear" w:color="auto" w:fill="auto"/>
            <w:vAlign w:val="center"/>
          </w:tcPr>
          <w:p w:rsidR="0050417A" w:rsidRPr="0050417A" w:rsidRDefault="0050417A" w:rsidP="0050417A">
            <w:pPr>
              <w:numPr>
                <w:ilvl w:val="0"/>
                <w:numId w:val="1"/>
              </w:numPr>
              <w:rPr>
                <w:bCs/>
              </w:rPr>
            </w:pPr>
            <w:r w:rsidRPr="0050417A">
              <w:rPr>
                <w:bCs/>
              </w:rPr>
              <w:t>Material</w:t>
            </w:r>
          </w:p>
        </w:tc>
        <w:tc>
          <w:tcPr>
            <w:tcW w:w="1778" w:type="dxa"/>
            <w:tcBorders>
              <w:top w:val="single" w:sz="8" w:space="0" w:color="000000"/>
              <w:bottom w:val="single" w:sz="8" w:space="0" w:color="000000"/>
            </w:tcBorders>
            <w:shd w:val="clear" w:color="auto" w:fill="auto"/>
            <w:vAlign w:val="center"/>
          </w:tcPr>
          <w:p w:rsidR="0050417A" w:rsidRPr="0050417A" w:rsidRDefault="0050417A" w:rsidP="0050417A">
            <w:pPr>
              <w:numPr>
                <w:ilvl w:val="0"/>
                <w:numId w:val="1"/>
              </w:numPr>
              <w:rPr>
                <w:bCs/>
              </w:rPr>
            </w:pPr>
            <w:r w:rsidRPr="0050417A">
              <w:rPr>
                <w:bCs/>
              </w:rPr>
              <w:t>Bulk Stress, θ (kPa)</w:t>
            </w:r>
          </w:p>
        </w:tc>
        <w:tc>
          <w:tcPr>
            <w:tcW w:w="1706" w:type="dxa"/>
            <w:tcBorders>
              <w:top w:val="single" w:sz="8" w:space="0" w:color="000000"/>
              <w:bottom w:val="single" w:sz="8" w:space="0" w:color="000000"/>
            </w:tcBorders>
            <w:shd w:val="clear" w:color="auto" w:fill="auto"/>
            <w:vAlign w:val="center"/>
          </w:tcPr>
          <w:p w:rsidR="0050417A" w:rsidRPr="0050417A" w:rsidRDefault="0050417A" w:rsidP="0050417A">
            <w:pPr>
              <w:numPr>
                <w:ilvl w:val="0"/>
                <w:numId w:val="1"/>
              </w:numPr>
              <w:rPr>
                <w:bCs/>
              </w:rPr>
            </w:pPr>
            <w:r w:rsidRPr="0050417A">
              <w:rPr>
                <w:bCs/>
              </w:rPr>
              <w:t>Resilient Modulus, MR (MPa)</w:t>
            </w:r>
          </w:p>
        </w:tc>
        <w:tc>
          <w:tcPr>
            <w:tcW w:w="1517" w:type="dxa"/>
            <w:tcBorders>
              <w:top w:val="single" w:sz="8" w:space="0" w:color="000000"/>
              <w:bottom w:val="single" w:sz="8" w:space="0" w:color="000000"/>
            </w:tcBorders>
            <w:vAlign w:val="center"/>
          </w:tcPr>
          <w:p w:rsidR="0050417A" w:rsidRPr="0050417A" w:rsidRDefault="0050417A" w:rsidP="0050417A">
            <w:pPr>
              <w:numPr>
                <w:ilvl w:val="0"/>
                <w:numId w:val="1"/>
              </w:numPr>
              <w:rPr>
                <w:bCs/>
              </w:rPr>
            </w:pPr>
            <w:r w:rsidRPr="0050417A">
              <w:rPr>
                <w:bCs/>
              </w:rPr>
              <w:t>Bulk Stress, θ (kPa)</w:t>
            </w:r>
          </w:p>
        </w:tc>
        <w:tc>
          <w:tcPr>
            <w:tcW w:w="1684" w:type="dxa"/>
            <w:tcBorders>
              <w:top w:val="single" w:sz="8" w:space="0" w:color="000000"/>
              <w:bottom w:val="single" w:sz="8" w:space="0" w:color="000000"/>
            </w:tcBorders>
            <w:shd w:val="clear" w:color="auto" w:fill="auto"/>
            <w:vAlign w:val="center"/>
          </w:tcPr>
          <w:p w:rsidR="0050417A" w:rsidRPr="0050417A" w:rsidRDefault="0050417A" w:rsidP="0050417A">
            <w:pPr>
              <w:numPr>
                <w:ilvl w:val="0"/>
                <w:numId w:val="1"/>
              </w:numPr>
              <w:rPr>
                <w:bCs/>
              </w:rPr>
            </w:pPr>
            <w:r w:rsidRPr="0050417A">
              <w:rPr>
                <w:bCs/>
              </w:rPr>
              <w:t>Resilient Modulus, MR (MPa)</w:t>
            </w:r>
          </w:p>
        </w:tc>
      </w:tr>
      <w:tr w:rsidR="0050417A" w:rsidRPr="0050417A" w:rsidTr="007B2A7B">
        <w:trPr>
          <w:trHeight w:val="22"/>
          <w:jc w:val="center"/>
        </w:trPr>
        <w:tc>
          <w:tcPr>
            <w:tcW w:w="1951" w:type="dxa"/>
            <w:shd w:val="clear" w:color="auto" w:fill="C0C0C0"/>
            <w:vAlign w:val="center"/>
          </w:tcPr>
          <w:p w:rsidR="0050417A" w:rsidRPr="0050417A" w:rsidRDefault="0050417A" w:rsidP="0050417A">
            <w:pPr>
              <w:numPr>
                <w:ilvl w:val="0"/>
                <w:numId w:val="1"/>
              </w:numPr>
              <w:rPr>
                <w:bCs/>
              </w:rPr>
            </w:pPr>
            <w:r w:rsidRPr="0050417A">
              <w:rPr>
                <w:bCs/>
              </w:rPr>
              <w:t>DGABC, Natural Gradation</w:t>
            </w:r>
          </w:p>
        </w:tc>
        <w:tc>
          <w:tcPr>
            <w:tcW w:w="1778" w:type="dxa"/>
            <w:vMerge w:val="restart"/>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227</w:t>
            </w:r>
          </w:p>
        </w:tc>
        <w:tc>
          <w:tcPr>
            <w:tcW w:w="1706" w:type="dxa"/>
            <w:shd w:val="clear" w:color="auto" w:fill="C0C0C0"/>
            <w:vAlign w:val="center"/>
          </w:tcPr>
          <w:p w:rsidR="0050417A" w:rsidRPr="0050417A" w:rsidRDefault="0050417A" w:rsidP="0050417A">
            <w:pPr>
              <w:numPr>
                <w:ilvl w:val="0"/>
                <w:numId w:val="1"/>
              </w:numPr>
              <w:rPr>
                <w:bCs/>
              </w:rPr>
            </w:pPr>
            <w:r w:rsidRPr="0050417A">
              <w:rPr>
                <w:bCs/>
              </w:rPr>
              <w:t>158.88</w:t>
            </w:r>
          </w:p>
        </w:tc>
        <w:tc>
          <w:tcPr>
            <w:tcW w:w="1517" w:type="dxa"/>
            <w:vMerge w:val="restart"/>
            <w:shd w:val="clear" w:color="auto" w:fill="C0C0C0"/>
            <w:vAlign w:val="center"/>
          </w:tcPr>
          <w:p w:rsidR="0050417A" w:rsidRPr="0050417A" w:rsidRDefault="0050417A" w:rsidP="0050417A">
            <w:pPr>
              <w:numPr>
                <w:ilvl w:val="0"/>
                <w:numId w:val="1"/>
              </w:numPr>
              <w:rPr>
                <w:bCs/>
              </w:rPr>
            </w:pPr>
            <w:r w:rsidRPr="0050417A">
              <w:rPr>
                <w:bCs/>
              </w:rPr>
              <w:t>254</w:t>
            </w:r>
          </w:p>
        </w:tc>
        <w:tc>
          <w:tcPr>
            <w:tcW w:w="1684" w:type="dxa"/>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w:t>
            </w:r>
          </w:p>
        </w:tc>
      </w:tr>
      <w:tr w:rsidR="0050417A" w:rsidRPr="0050417A" w:rsidTr="007B2A7B">
        <w:trPr>
          <w:trHeight w:val="10"/>
          <w:jc w:val="center"/>
        </w:trPr>
        <w:tc>
          <w:tcPr>
            <w:tcW w:w="1951" w:type="dxa"/>
            <w:shd w:val="clear" w:color="auto" w:fill="auto"/>
            <w:vAlign w:val="center"/>
          </w:tcPr>
          <w:p w:rsidR="0050417A" w:rsidRPr="0050417A" w:rsidRDefault="0050417A" w:rsidP="0050417A">
            <w:pPr>
              <w:numPr>
                <w:ilvl w:val="0"/>
                <w:numId w:val="1"/>
              </w:numPr>
              <w:rPr>
                <w:bCs/>
              </w:rPr>
            </w:pPr>
            <w:r w:rsidRPr="0050417A">
              <w:rPr>
                <w:bCs/>
              </w:rPr>
              <w:t>DGABC, Low End</w:t>
            </w:r>
          </w:p>
        </w:tc>
        <w:tc>
          <w:tcPr>
            <w:tcW w:w="1778" w:type="dxa"/>
            <w:vMerge/>
            <w:shd w:val="clear" w:color="auto" w:fill="auto"/>
            <w:vAlign w:val="center"/>
          </w:tcPr>
          <w:p w:rsidR="0050417A" w:rsidRPr="0050417A" w:rsidRDefault="0050417A" w:rsidP="0050417A">
            <w:pPr>
              <w:numPr>
                <w:ilvl w:val="0"/>
                <w:numId w:val="1"/>
              </w:numPr>
              <w:rPr>
                <w:bCs/>
              </w:rPr>
            </w:pPr>
          </w:p>
        </w:tc>
        <w:tc>
          <w:tcPr>
            <w:tcW w:w="1706" w:type="dxa"/>
            <w:shd w:val="clear" w:color="auto" w:fill="auto"/>
            <w:vAlign w:val="center"/>
          </w:tcPr>
          <w:p w:rsidR="0050417A" w:rsidRPr="0050417A" w:rsidRDefault="0050417A" w:rsidP="0050417A">
            <w:pPr>
              <w:numPr>
                <w:ilvl w:val="0"/>
                <w:numId w:val="1"/>
              </w:numPr>
              <w:rPr>
                <w:bCs/>
              </w:rPr>
            </w:pPr>
            <w:r w:rsidRPr="0050417A">
              <w:rPr>
                <w:bCs/>
              </w:rPr>
              <w:t>-</w:t>
            </w:r>
          </w:p>
        </w:tc>
        <w:tc>
          <w:tcPr>
            <w:tcW w:w="1517" w:type="dxa"/>
            <w:vMerge/>
          </w:tcPr>
          <w:p w:rsidR="0050417A" w:rsidRPr="0050417A" w:rsidRDefault="0050417A" w:rsidP="0050417A">
            <w:pPr>
              <w:numPr>
                <w:ilvl w:val="0"/>
                <w:numId w:val="1"/>
              </w:numPr>
              <w:rPr>
                <w:bCs/>
              </w:rPr>
            </w:pPr>
          </w:p>
        </w:tc>
        <w:tc>
          <w:tcPr>
            <w:tcW w:w="1684" w:type="dxa"/>
            <w:shd w:val="clear" w:color="auto" w:fill="auto"/>
            <w:vAlign w:val="center"/>
          </w:tcPr>
          <w:p w:rsidR="0050417A" w:rsidRPr="0050417A" w:rsidRDefault="0050417A" w:rsidP="0050417A">
            <w:pPr>
              <w:numPr>
                <w:ilvl w:val="0"/>
                <w:numId w:val="1"/>
              </w:numPr>
              <w:rPr>
                <w:bCs/>
              </w:rPr>
            </w:pPr>
            <w:r w:rsidRPr="0050417A">
              <w:rPr>
                <w:bCs/>
              </w:rPr>
              <w:t>126.53</w:t>
            </w:r>
          </w:p>
        </w:tc>
      </w:tr>
      <w:tr w:rsidR="0050417A" w:rsidRPr="0050417A" w:rsidTr="007B2A7B">
        <w:trPr>
          <w:trHeight w:val="10"/>
          <w:jc w:val="center"/>
        </w:trPr>
        <w:tc>
          <w:tcPr>
            <w:tcW w:w="1951" w:type="dxa"/>
            <w:shd w:val="clear" w:color="auto" w:fill="C0C0C0"/>
            <w:vAlign w:val="center"/>
          </w:tcPr>
          <w:p w:rsidR="0050417A" w:rsidRPr="0050417A" w:rsidRDefault="0050417A" w:rsidP="0050417A">
            <w:pPr>
              <w:numPr>
                <w:ilvl w:val="0"/>
                <w:numId w:val="1"/>
              </w:numPr>
              <w:rPr>
                <w:bCs/>
              </w:rPr>
            </w:pPr>
            <w:r w:rsidRPr="0050417A">
              <w:rPr>
                <w:bCs/>
              </w:rPr>
              <w:t>Stone Dust</w:t>
            </w:r>
          </w:p>
        </w:tc>
        <w:tc>
          <w:tcPr>
            <w:tcW w:w="1778" w:type="dxa"/>
            <w:vMerge/>
            <w:tcBorders>
              <w:left w:val="nil"/>
              <w:right w:val="nil"/>
            </w:tcBorders>
            <w:shd w:val="clear" w:color="auto" w:fill="C0C0C0"/>
            <w:vAlign w:val="center"/>
          </w:tcPr>
          <w:p w:rsidR="0050417A" w:rsidRPr="0050417A" w:rsidRDefault="0050417A" w:rsidP="0050417A">
            <w:pPr>
              <w:numPr>
                <w:ilvl w:val="0"/>
                <w:numId w:val="1"/>
              </w:numPr>
              <w:rPr>
                <w:bCs/>
              </w:rPr>
            </w:pPr>
          </w:p>
        </w:tc>
        <w:tc>
          <w:tcPr>
            <w:tcW w:w="1706" w:type="dxa"/>
            <w:shd w:val="clear" w:color="auto" w:fill="C0C0C0"/>
            <w:vAlign w:val="center"/>
          </w:tcPr>
          <w:p w:rsidR="0050417A" w:rsidRPr="0050417A" w:rsidRDefault="0050417A" w:rsidP="0050417A">
            <w:pPr>
              <w:numPr>
                <w:ilvl w:val="0"/>
                <w:numId w:val="1"/>
              </w:numPr>
              <w:rPr>
                <w:bCs/>
              </w:rPr>
            </w:pPr>
            <w:r w:rsidRPr="0050417A">
              <w:rPr>
                <w:bCs/>
              </w:rPr>
              <w:t>94.37</w:t>
            </w:r>
          </w:p>
        </w:tc>
        <w:tc>
          <w:tcPr>
            <w:tcW w:w="1517" w:type="dxa"/>
            <w:vMerge/>
            <w:shd w:val="clear" w:color="auto" w:fill="C0C0C0"/>
          </w:tcPr>
          <w:p w:rsidR="0050417A" w:rsidRPr="0050417A" w:rsidRDefault="0050417A" w:rsidP="0050417A">
            <w:pPr>
              <w:numPr>
                <w:ilvl w:val="0"/>
                <w:numId w:val="1"/>
              </w:numPr>
              <w:rPr>
                <w:bCs/>
              </w:rPr>
            </w:pPr>
          </w:p>
        </w:tc>
        <w:tc>
          <w:tcPr>
            <w:tcW w:w="1684" w:type="dxa"/>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95.32</w:t>
            </w:r>
          </w:p>
        </w:tc>
      </w:tr>
      <w:tr w:rsidR="0050417A" w:rsidRPr="0050417A" w:rsidTr="007B2A7B">
        <w:trPr>
          <w:trHeight w:val="10"/>
          <w:jc w:val="center"/>
        </w:trPr>
        <w:tc>
          <w:tcPr>
            <w:tcW w:w="1951" w:type="dxa"/>
            <w:shd w:val="clear" w:color="auto" w:fill="auto"/>
            <w:vAlign w:val="center"/>
          </w:tcPr>
          <w:p w:rsidR="0050417A" w:rsidRPr="0050417A" w:rsidRDefault="0050417A" w:rsidP="0050417A">
            <w:pPr>
              <w:numPr>
                <w:ilvl w:val="0"/>
                <w:numId w:val="1"/>
              </w:numPr>
              <w:rPr>
                <w:bCs/>
              </w:rPr>
            </w:pPr>
            <w:r w:rsidRPr="0050417A">
              <w:rPr>
                <w:bCs/>
              </w:rPr>
              <w:t>Fly Ash</w:t>
            </w:r>
          </w:p>
        </w:tc>
        <w:tc>
          <w:tcPr>
            <w:tcW w:w="1778" w:type="dxa"/>
            <w:vMerge/>
            <w:shd w:val="clear" w:color="auto" w:fill="auto"/>
            <w:vAlign w:val="center"/>
          </w:tcPr>
          <w:p w:rsidR="0050417A" w:rsidRPr="0050417A" w:rsidRDefault="0050417A" w:rsidP="0050417A">
            <w:pPr>
              <w:numPr>
                <w:ilvl w:val="0"/>
                <w:numId w:val="1"/>
              </w:numPr>
              <w:rPr>
                <w:bCs/>
              </w:rPr>
            </w:pPr>
          </w:p>
        </w:tc>
        <w:tc>
          <w:tcPr>
            <w:tcW w:w="1706" w:type="dxa"/>
            <w:shd w:val="clear" w:color="auto" w:fill="auto"/>
            <w:vAlign w:val="center"/>
          </w:tcPr>
          <w:p w:rsidR="0050417A" w:rsidRPr="0050417A" w:rsidRDefault="0050417A" w:rsidP="0050417A">
            <w:pPr>
              <w:numPr>
                <w:ilvl w:val="0"/>
                <w:numId w:val="1"/>
              </w:numPr>
              <w:rPr>
                <w:bCs/>
              </w:rPr>
            </w:pPr>
            <w:r w:rsidRPr="0050417A">
              <w:rPr>
                <w:bCs/>
              </w:rPr>
              <w:t>115.04</w:t>
            </w:r>
          </w:p>
        </w:tc>
        <w:tc>
          <w:tcPr>
            <w:tcW w:w="1517" w:type="dxa"/>
            <w:vMerge/>
          </w:tcPr>
          <w:p w:rsidR="0050417A" w:rsidRPr="0050417A" w:rsidRDefault="0050417A" w:rsidP="0050417A">
            <w:pPr>
              <w:numPr>
                <w:ilvl w:val="0"/>
                <w:numId w:val="1"/>
              </w:numPr>
              <w:rPr>
                <w:bCs/>
              </w:rPr>
            </w:pPr>
          </w:p>
        </w:tc>
        <w:tc>
          <w:tcPr>
            <w:tcW w:w="1684" w:type="dxa"/>
            <w:shd w:val="clear" w:color="auto" w:fill="auto"/>
            <w:vAlign w:val="center"/>
          </w:tcPr>
          <w:p w:rsidR="0050417A" w:rsidRPr="0050417A" w:rsidRDefault="0050417A" w:rsidP="0050417A">
            <w:pPr>
              <w:numPr>
                <w:ilvl w:val="0"/>
                <w:numId w:val="1"/>
              </w:numPr>
              <w:rPr>
                <w:bCs/>
              </w:rPr>
            </w:pPr>
            <w:r w:rsidRPr="0050417A">
              <w:rPr>
                <w:bCs/>
              </w:rPr>
              <w:t>116.53</w:t>
            </w:r>
          </w:p>
        </w:tc>
      </w:tr>
      <w:tr w:rsidR="0050417A" w:rsidRPr="0050417A" w:rsidTr="007B2A7B">
        <w:trPr>
          <w:trHeight w:val="10"/>
          <w:jc w:val="center"/>
        </w:trPr>
        <w:tc>
          <w:tcPr>
            <w:tcW w:w="1951" w:type="dxa"/>
            <w:shd w:val="clear" w:color="auto" w:fill="C0C0C0"/>
            <w:vAlign w:val="center"/>
          </w:tcPr>
          <w:p w:rsidR="0050417A" w:rsidRPr="0050417A" w:rsidRDefault="0050417A" w:rsidP="0050417A">
            <w:pPr>
              <w:numPr>
                <w:ilvl w:val="0"/>
                <w:numId w:val="1"/>
              </w:numPr>
              <w:rPr>
                <w:bCs/>
              </w:rPr>
            </w:pPr>
            <w:r w:rsidRPr="0050417A">
              <w:rPr>
                <w:bCs/>
              </w:rPr>
              <w:t>Coarse Sand</w:t>
            </w:r>
          </w:p>
        </w:tc>
        <w:tc>
          <w:tcPr>
            <w:tcW w:w="1778" w:type="dxa"/>
            <w:vMerge/>
            <w:tcBorders>
              <w:left w:val="nil"/>
              <w:right w:val="nil"/>
            </w:tcBorders>
            <w:shd w:val="clear" w:color="auto" w:fill="C0C0C0"/>
            <w:vAlign w:val="center"/>
          </w:tcPr>
          <w:p w:rsidR="0050417A" w:rsidRPr="0050417A" w:rsidRDefault="0050417A" w:rsidP="0050417A">
            <w:pPr>
              <w:numPr>
                <w:ilvl w:val="0"/>
                <w:numId w:val="1"/>
              </w:numPr>
              <w:rPr>
                <w:bCs/>
              </w:rPr>
            </w:pPr>
          </w:p>
        </w:tc>
        <w:tc>
          <w:tcPr>
            <w:tcW w:w="1706" w:type="dxa"/>
            <w:shd w:val="clear" w:color="auto" w:fill="C0C0C0"/>
            <w:vAlign w:val="center"/>
          </w:tcPr>
          <w:p w:rsidR="0050417A" w:rsidRPr="0050417A" w:rsidRDefault="0050417A" w:rsidP="0050417A">
            <w:pPr>
              <w:numPr>
                <w:ilvl w:val="0"/>
                <w:numId w:val="1"/>
              </w:numPr>
              <w:rPr>
                <w:bCs/>
              </w:rPr>
            </w:pPr>
            <w:r w:rsidRPr="0050417A">
              <w:rPr>
                <w:bCs/>
              </w:rPr>
              <w:t>142.15</w:t>
            </w:r>
          </w:p>
        </w:tc>
        <w:tc>
          <w:tcPr>
            <w:tcW w:w="1517" w:type="dxa"/>
            <w:vMerge/>
            <w:shd w:val="clear" w:color="auto" w:fill="C0C0C0"/>
          </w:tcPr>
          <w:p w:rsidR="0050417A" w:rsidRPr="0050417A" w:rsidRDefault="0050417A" w:rsidP="0050417A">
            <w:pPr>
              <w:numPr>
                <w:ilvl w:val="0"/>
                <w:numId w:val="1"/>
              </w:numPr>
              <w:rPr>
                <w:bCs/>
              </w:rPr>
            </w:pPr>
          </w:p>
        </w:tc>
        <w:tc>
          <w:tcPr>
            <w:tcW w:w="1684" w:type="dxa"/>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143.59</w:t>
            </w:r>
          </w:p>
        </w:tc>
      </w:tr>
      <w:tr w:rsidR="0050417A" w:rsidRPr="0050417A" w:rsidTr="007B2A7B">
        <w:trPr>
          <w:trHeight w:val="10"/>
          <w:jc w:val="center"/>
        </w:trPr>
        <w:tc>
          <w:tcPr>
            <w:tcW w:w="1951" w:type="dxa"/>
            <w:shd w:val="clear" w:color="auto" w:fill="auto"/>
            <w:vAlign w:val="center"/>
          </w:tcPr>
          <w:p w:rsidR="0050417A" w:rsidRPr="0050417A" w:rsidRDefault="0050417A" w:rsidP="0050417A">
            <w:pPr>
              <w:numPr>
                <w:ilvl w:val="0"/>
                <w:numId w:val="1"/>
              </w:numPr>
              <w:rPr>
                <w:bCs/>
              </w:rPr>
            </w:pPr>
            <w:r w:rsidRPr="0050417A">
              <w:rPr>
                <w:bCs/>
              </w:rPr>
              <w:t>RBM</w:t>
            </w:r>
          </w:p>
        </w:tc>
        <w:tc>
          <w:tcPr>
            <w:tcW w:w="1778" w:type="dxa"/>
            <w:vMerge/>
            <w:shd w:val="clear" w:color="auto" w:fill="auto"/>
            <w:vAlign w:val="center"/>
          </w:tcPr>
          <w:p w:rsidR="0050417A" w:rsidRPr="0050417A" w:rsidRDefault="0050417A" w:rsidP="0050417A">
            <w:pPr>
              <w:numPr>
                <w:ilvl w:val="0"/>
                <w:numId w:val="1"/>
              </w:numPr>
              <w:rPr>
                <w:bCs/>
              </w:rPr>
            </w:pPr>
          </w:p>
        </w:tc>
        <w:tc>
          <w:tcPr>
            <w:tcW w:w="1706" w:type="dxa"/>
            <w:shd w:val="clear" w:color="auto" w:fill="auto"/>
            <w:vAlign w:val="center"/>
          </w:tcPr>
          <w:p w:rsidR="0050417A" w:rsidRPr="0050417A" w:rsidRDefault="0050417A" w:rsidP="0050417A">
            <w:pPr>
              <w:numPr>
                <w:ilvl w:val="0"/>
                <w:numId w:val="1"/>
              </w:numPr>
              <w:rPr>
                <w:bCs/>
              </w:rPr>
            </w:pPr>
            <w:r w:rsidRPr="0050417A">
              <w:rPr>
                <w:bCs/>
              </w:rPr>
              <w:t>183.58</w:t>
            </w:r>
          </w:p>
        </w:tc>
        <w:tc>
          <w:tcPr>
            <w:tcW w:w="1517" w:type="dxa"/>
            <w:vMerge/>
          </w:tcPr>
          <w:p w:rsidR="0050417A" w:rsidRPr="0050417A" w:rsidRDefault="0050417A" w:rsidP="0050417A">
            <w:pPr>
              <w:numPr>
                <w:ilvl w:val="0"/>
                <w:numId w:val="1"/>
              </w:numPr>
              <w:rPr>
                <w:bCs/>
              </w:rPr>
            </w:pPr>
          </w:p>
        </w:tc>
        <w:tc>
          <w:tcPr>
            <w:tcW w:w="1684" w:type="dxa"/>
            <w:shd w:val="clear" w:color="auto" w:fill="auto"/>
            <w:vAlign w:val="center"/>
          </w:tcPr>
          <w:p w:rsidR="0050417A" w:rsidRPr="0050417A" w:rsidRDefault="0050417A" w:rsidP="0050417A">
            <w:pPr>
              <w:numPr>
                <w:ilvl w:val="0"/>
                <w:numId w:val="1"/>
              </w:numPr>
              <w:rPr>
                <w:bCs/>
              </w:rPr>
            </w:pPr>
            <w:r w:rsidRPr="0050417A">
              <w:rPr>
                <w:bCs/>
              </w:rPr>
              <w:t>190.53</w:t>
            </w:r>
          </w:p>
        </w:tc>
      </w:tr>
      <w:tr w:rsidR="0050417A" w:rsidRPr="0050417A" w:rsidTr="007B2A7B">
        <w:trPr>
          <w:trHeight w:val="10"/>
          <w:jc w:val="center"/>
        </w:trPr>
        <w:tc>
          <w:tcPr>
            <w:tcW w:w="1951" w:type="dxa"/>
            <w:shd w:val="clear" w:color="auto" w:fill="C0C0C0"/>
            <w:vAlign w:val="center"/>
          </w:tcPr>
          <w:p w:rsidR="0050417A" w:rsidRPr="0050417A" w:rsidRDefault="0050417A" w:rsidP="0050417A">
            <w:pPr>
              <w:numPr>
                <w:ilvl w:val="0"/>
                <w:numId w:val="1"/>
              </w:numPr>
              <w:rPr>
                <w:bCs/>
              </w:rPr>
            </w:pPr>
            <w:r w:rsidRPr="0050417A">
              <w:rPr>
                <w:bCs/>
              </w:rPr>
              <w:lastRenderedPageBreak/>
              <w:t>Batch 0</w:t>
            </w:r>
          </w:p>
        </w:tc>
        <w:tc>
          <w:tcPr>
            <w:tcW w:w="1778" w:type="dxa"/>
            <w:vMerge/>
            <w:tcBorders>
              <w:left w:val="nil"/>
              <w:right w:val="nil"/>
            </w:tcBorders>
            <w:shd w:val="clear" w:color="auto" w:fill="C0C0C0"/>
            <w:vAlign w:val="center"/>
          </w:tcPr>
          <w:p w:rsidR="0050417A" w:rsidRPr="0050417A" w:rsidRDefault="0050417A" w:rsidP="0050417A">
            <w:pPr>
              <w:numPr>
                <w:ilvl w:val="0"/>
                <w:numId w:val="1"/>
              </w:numPr>
              <w:rPr>
                <w:bCs/>
              </w:rPr>
            </w:pPr>
          </w:p>
        </w:tc>
        <w:tc>
          <w:tcPr>
            <w:tcW w:w="1706" w:type="dxa"/>
            <w:shd w:val="clear" w:color="auto" w:fill="C0C0C0"/>
            <w:vAlign w:val="center"/>
          </w:tcPr>
          <w:p w:rsidR="0050417A" w:rsidRPr="0050417A" w:rsidRDefault="0050417A" w:rsidP="0050417A">
            <w:pPr>
              <w:numPr>
                <w:ilvl w:val="0"/>
                <w:numId w:val="1"/>
              </w:numPr>
              <w:rPr>
                <w:bCs/>
              </w:rPr>
            </w:pPr>
            <w:r w:rsidRPr="0050417A">
              <w:rPr>
                <w:bCs/>
              </w:rPr>
              <w:t>176.62</w:t>
            </w:r>
          </w:p>
        </w:tc>
        <w:tc>
          <w:tcPr>
            <w:tcW w:w="1517" w:type="dxa"/>
            <w:vMerge/>
            <w:shd w:val="clear" w:color="auto" w:fill="C0C0C0"/>
          </w:tcPr>
          <w:p w:rsidR="0050417A" w:rsidRPr="0050417A" w:rsidRDefault="0050417A" w:rsidP="0050417A">
            <w:pPr>
              <w:numPr>
                <w:ilvl w:val="0"/>
                <w:numId w:val="1"/>
              </w:numPr>
              <w:rPr>
                <w:bCs/>
              </w:rPr>
            </w:pPr>
          </w:p>
        </w:tc>
        <w:tc>
          <w:tcPr>
            <w:tcW w:w="1684" w:type="dxa"/>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187.36</w:t>
            </w:r>
          </w:p>
        </w:tc>
      </w:tr>
      <w:tr w:rsidR="0050417A" w:rsidRPr="0050417A" w:rsidTr="007B2A7B">
        <w:trPr>
          <w:trHeight w:val="10"/>
          <w:jc w:val="center"/>
        </w:trPr>
        <w:tc>
          <w:tcPr>
            <w:tcW w:w="1951" w:type="dxa"/>
            <w:shd w:val="clear" w:color="auto" w:fill="auto"/>
            <w:vAlign w:val="center"/>
          </w:tcPr>
          <w:p w:rsidR="0050417A" w:rsidRPr="0050417A" w:rsidRDefault="0050417A" w:rsidP="0050417A">
            <w:pPr>
              <w:numPr>
                <w:ilvl w:val="0"/>
                <w:numId w:val="1"/>
              </w:numPr>
              <w:rPr>
                <w:bCs/>
              </w:rPr>
            </w:pPr>
            <w:r w:rsidRPr="0050417A">
              <w:rPr>
                <w:bCs/>
              </w:rPr>
              <w:t>Batch 1</w:t>
            </w:r>
          </w:p>
        </w:tc>
        <w:tc>
          <w:tcPr>
            <w:tcW w:w="1778" w:type="dxa"/>
            <w:vMerge/>
            <w:shd w:val="clear" w:color="auto" w:fill="auto"/>
            <w:vAlign w:val="center"/>
          </w:tcPr>
          <w:p w:rsidR="0050417A" w:rsidRPr="0050417A" w:rsidRDefault="0050417A" w:rsidP="0050417A">
            <w:pPr>
              <w:numPr>
                <w:ilvl w:val="0"/>
                <w:numId w:val="1"/>
              </w:numPr>
              <w:rPr>
                <w:bCs/>
              </w:rPr>
            </w:pPr>
          </w:p>
        </w:tc>
        <w:tc>
          <w:tcPr>
            <w:tcW w:w="1706" w:type="dxa"/>
            <w:shd w:val="clear" w:color="auto" w:fill="auto"/>
            <w:vAlign w:val="center"/>
          </w:tcPr>
          <w:p w:rsidR="0050417A" w:rsidRPr="0050417A" w:rsidRDefault="0050417A" w:rsidP="0050417A">
            <w:pPr>
              <w:numPr>
                <w:ilvl w:val="0"/>
                <w:numId w:val="1"/>
              </w:numPr>
              <w:rPr>
                <w:bCs/>
              </w:rPr>
            </w:pPr>
            <w:r w:rsidRPr="0050417A">
              <w:rPr>
                <w:bCs/>
              </w:rPr>
              <w:t>153.43</w:t>
            </w:r>
          </w:p>
        </w:tc>
        <w:tc>
          <w:tcPr>
            <w:tcW w:w="1517" w:type="dxa"/>
            <w:vMerge/>
          </w:tcPr>
          <w:p w:rsidR="0050417A" w:rsidRPr="0050417A" w:rsidRDefault="0050417A" w:rsidP="0050417A">
            <w:pPr>
              <w:numPr>
                <w:ilvl w:val="0"/>
                <w:numId w:val="1"/>
              </w:numPr>
              <w:rPr>
                <w:bCs/>
              </w:rPr>
            </w:pPr>
          </w:p>
        </w:tc>
        <w:tc>
          <w:tcPr>
            <w:tcW w:w="1684" w:type="dxa"/>
            <w:shd w:val="clear" w:color="auto" w:fill="auto"/>
            <w:vAlign w:val="center"/>
          </w:tcPr>
          <w:p w:rsidR="0050417A" w:rsidRPr="0050417A" w:rsidRDefault="0050417A" w:rsidP="0050417A">
            <w:pPr>
              <w:numPr>
                <w:ilvl w:val="0"/>
                <w:numId w:val="1"/>
              </w:numPr>
              <w:rPr>
                <w:bCs/>
              </w:rPr>
            </w:pPr>
            <w:r w:rsidRPr="0050417A">
              <w:rPr>
                <w:bCs/>
              </w:rPr>
              <w:t>161.69</w:t>
            </w:r>
          </w:p>
        </w:tc>
      </w:tr>
      <w:tr w:rsidR="0050417A" w:rsidRPr="0050417A" w:rsidTr="007B2A7B">
        <w:trPr>
          <w:trHeight w:val="10"/>
          <w:jc w:val="center"/>
        </w:trPr>
        <w:tc>
          <w:tcPr>
            <w:tcW w:w="1951" w:type="dxa"/>
            <w:shd w:val="clear" w:color="auto" w:fill="C0C0C0"/>
            <w:vAlign w:val="center"/>
          </w:tcPr>
          <w:p w:rsidR="0050417A" w:rsidRPr="0050417A" w:rsidRDefault="0050417A" w:rsidP="0050417A">
            <w:pPr>
              <w:numPr>
                <w:ilvl w:val="0"/>
                <w:numId w:val="1"/>
              </w:numPr>
              <w:rPr>
                <w:bCs/>
              </w:rPr>
            </w:pPr>
            <w:r w:rsidRPr="0050417A">
              <w:rPr>
                <w:bCs/>
              </w:rPr>
              <w:t>Batch 2</w:t>
            </w:r>
          </w:p>
        </w:tc>
        <w:tc>
          <w:tcPr>
            <w:tcW w:w="1778" w:type="dxa"/>
            <w:vMerge/>
            <w:tcBorders>
              <w:left w:val="nil"/>
              <w:right w:val="nil"/>
            </w:tcBorders>
            <w:shd w:val="clear" w:color="auto" w:fill="C0C0C0"/>
            <w:vAlign w:val="center"/>
          </w:tcPr>
          <w:p w:rsidR="0050417A" w:rsidRPr="0050417A" w:rsidRDefault="0050417A" w:rsidP="0050417A">
            <w:pPr>
              <w:numPr>
                <w:ilvl w:val="0"/>
                <w:numId w:val="1"/>
              </w:numPr>
              <w:rPr>
                <w:bCs/>
              </w:rPr>
            </w:pPr>
          </w:p>
        </w:tc>
        <w:tc>
          <w:tcPr>
            <w:tcW w:w="1706" w:type="dxa"/>
            <w:shd w:val="clear" w:color="auto" w:fill="C0C0C0"/>
            <w:vAlign w:val="center"/>
          </w:tcPr>
          <w:p w:rsidR="0050417A" w:rsidRPr="0050417A" w:rsidRDefault="0050417A" w:rsidP="0050417A">
            <w:pPr>
              <w:numPr>
                <w:ilvl w:val="0"/>
                <w:numId w:val="1"/>
              </w:numPr>
              <w:rPr>
                <w:bCs/>
              </w:rPr>
            </w:pPr>
            <w:r w:rsidRPr="0050417A">
              <w:rPr>
                <w:bCs/>
              </w:rPr>
              <w:t>188.92</w:t>
            </w:r>
          </w:p>
        </w:tc>
        <w:tc>
          <w:tcPr>
            <w:tcW w:w="1517" w:type="dxa"/>
            <w:vMerge/>
            <w:shd w:val="clear" w:color="auto" w:fill="C0C0C0"/>
          </w:tcPr>
          <w:p w:rsidR="0050417A" w:rsidRPr="0050417A" w:rsidRDefault="0050417A" w:rsidP="0050417A">
            <w:pPr>
              <w:numPr>
                <w:ilvl w:val="0"/>
                <w:numId w:val="1"/>
              </w:numPr>
              <w:rPr>
                <w:bCs/>
              </w:rPr>
            </w:pPr>
          </w:p>
        </w:tc>
        <w:tc>
          <w:tcPr>
            <w:tcW w:w="1684" w:type="dxa"/>
            <w:tcBorders>
              <w:left w:val="nil"/>
              <w:right w:val="nil"/>
            </w:tcBorders>
            <w:shd w:val="clear" w:color="auto" w:fill="C0C0C0"/>
            <w:vAlign w:val="center"/>
          </w:tcPr>
          <w:p w:rsidR="0050417A" w:rsidRPr="0050417A" w:rsidRDefault="0050417A" w:rsidP="0050417A">
            <w:pPr>
              <w:numPr>
                <w:ilvl w:val="0"/>
                <w:numId w:val="1"/>
              </w:numPr>
              <w:rPr>
                <w:bCs/>
              </w:rPr>
            </w:pPr>
            <w:r w:rsidRPr="0050417A">
              <w:rPr>
                <w:bCs/>
              </w:rPr>
              <w:t>199.90</w:t>
            </w:r>
          </w:p>
        </w:tc>
      </w:tr>
    </w:tbl>
    <w:p w:rsidR="00DD19CE" w:rsidRPr="00DD19CE" w:rsidRDefault="00547C86" w:rsidP="00DD19CE">
      <w:pPr>
        <w:numPr>
          <w:ilvl w:val="0"/>
          <w:numId w:val="1"/>
        </w:numPr>
      </w:pPr>
      <w:r>
        <w:rPr>
          <w:b/>
          <w:bCs/>
        </w:rPr>
        <w:t>LCC R</w:t>
      </w:r>
      <w:r w:rsidR="00DD19CE" w:rsidRPr="00DD19CE">
        <w:rPr>
          <w:b/>
          <w:bCs/>
        </w:rPr>
        <w:t>esilient Modulus Tests</w:t>
      </w:r>
      <w:r w:rsidR="00DD19CE" w:rsidRPr="00DD19CE">
        <w:t>:</w:t>
      </w:r>
    </w:p>
    <w:p w:rsidR="00DD19CE" w:rsidRPr="00DD19CE" w:rsidRDefault="00DD19CE" w:rsidP="00DD19CE">
      <w:pPr>
        <w:numPr>
          <w:ilvl w:val="1"/>
          <w:numId w:val="1"/>
        </w:numPr>
      </w:pPr>
      <w:r w:rsidRPr="00DD19CE">
        <w:t>The results are shown in Figures 6, 7, and 8 for batches 0, 1, and 2. The resilient modulus (MR) is calculated using bulk stress and material constants (K1 and K2).</w:t>
      </w:r>
    </w:p>
    <w:p w:rsidR="00DD19CE" w:rsidRPr="00DD19CE" w:rsidRDefault="00DD19CE" w:rsidP="00DD19CE">
      <w:pPr>
        <w:numPr>
          <w:ilvl w:val="1"/>
          <w:numId w:val="1"/>
        </w:numPr>
      </w:pPr>
      <w:r w:rsidRPr="00DD19CE">
        <w:t>For batch 0, K1=9.6674K1 = 9.6674K1=9.6674, K2=0.5355K2 = 0.5355K2=0.5355, and R2=0.8014R^2 = 0.8014R2=0.8014.</w:t>
      </w:r>
    </w:p>
    <w:p w:rsidR="00DD19CE" w:rsidRPr="00DD19CE" w:rsidRDefault="00DD19CE" w:rsidP="00DD19CE">
      <w:pPr>
        <w:numPr>
          <w:ilvl w:val="1"/>
          <w:numId w:val="1"/>
        </w:numPr>
      </w:pPr>
      <w:r w:rsidRPr="00DD19CE">
        <w:t>For batch 1, K1=11.636K1 = 11.636K1=11.636, K2=0.4754K2 = 0.4754K2=0.4754, and R2=0.776R^2 = 0.776R2=0.776.</w:t>
      </w:r>
    </w:p>
    <w:p w:rsidR="00DD19CE" w:rsidRPr="00DD19CE" w:rsidRDefault="00DD19CE" w:rsidP="00DD19CE">
      <w:pPr>
        <w:numPr>
          <w:ilvl w:val="1"/>
          <w:numId w:val="1"/>
        </w:numPr>
      </w:pPr>
      <w:r w:rsidRPr="00DD19CE">
        <w:t>For batch 2, K1=11.715K1 = 11.715K1=11.715, K2=0.5125K2 = 0.5125K2=0.5125, and R2=0.8286R^2 = 0.8286R2=0.8286.</w:t>
      </w:r>
    </w:p>
    <w:p w:rsidR="00DD19CE" w:rsidRPr="00DD19CE" w:rsidRDefault="00DD19CE" w:rsidP="00DD19CE">
      <w:pPr>
        <w:numPr>
          <w:ilvl w:val="1"/>
          <w:numId w:val="1"/>
        </w:numPr>
      </w:pPr>
      <w:r w:rsidRPr="00DD19CE">
        <w:t>The R-squared values indicate a relatively strong correlation between the variables for all batches.</w:t>
      </w:r>
    </w:p>
    <w:p w:rsidR="00DD19CE" w:rsidRDefault="00DD19CE" w:rsidP="00DD19CE">
      <w:r w:rsidRPr="00DD19CE">
        <w:t>The results show variations in the material properties based on batch composition, with batch 0 being the strongest in both resilient modulus and compressive strength.</w:t>
      </w:r>
    </w:p>
    <w:p w:rsidR="00DD19CE" w:rsidRDefault="00DD19CE" w:rsidP="00DD19CE"/>
    <w:p w:rsidR="00DD19CE" w:rsidRPr="00DD19CE" w:rsidRDefault="00DD19CE" w:rsidP="00DD19CE">
      <w:r>
        <w:rPr>
          <w:noProof/>
        </w:rPr>
        <w:drawing>
          <wp:inline distT="0" distB="0" distL="0" distR="0" wp14:anchorId="08A05221" wp14:editId="6F5560A0">
            <wp:extent cx="5943600" cy="280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802255"/>
                    </a:xfrm>
                    <a:prstGeom prst="rect">
                      <a:avLst/>
                    </a:prstGeom>
                  </pic:spPr>
                </pic:pic>
              </a:graphicData>
            </a:graphic>
          </wp:inline>
        </w:drawing>
      </w:r>
    </w:p>
    <w:p w:rsidR="00DD19CE" w:rsidRDefault="00DD19CE">
      <w:r w:rsidRPr="00DD19CE">
        <w:t>Figure 6. Graphical result of the resilient modulus test on samples of batch 0.</w:t>
      </w:r>
    </w:p>
    <w:p w:rsidR="00DD19CE" w:rsidRDefault="00DD19CE">
      <w:r>
        <w:rPr>
          <w:noProof/>
        </w:rPr>
        <w:lastRenderedPageBreak/>
        <w:drawing>
          <wp:inline distT="0" distB="0" distL="0" distR="0" wp14:anchorId="74245B83" wp14:editId="579DAFCC">
            <wp:extent cx="6035623" cy="310550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2337" cy="3150126"/>
                    </a:xfrm>
                    <a:prstGeom prst="rect">
                      <a:avLst/>
                    </a:prstGeom>
                  </pic:spPr>
                </pic:pic>
              </a:graphicData>
            </a:graphic>
          </wp:inline>
        </w:drawing>
      </w:r>
    </w:p>
    <w:p w:rsidR="00DD19CE" w:rsidRDefault="00DD19CE">
      <w:r w:rsidRPr="00DD19CE">
        <w:t>Figure 7. Graphical result of the resilient modulus test on samples of batch 1.</w:t>
      </w:r>
    </w:p>
    <w:p w:rsidR="00DD19CE" w:rsidRDefault="00DD19CE">
      <w:r>
        <w:br w:type="page"/>
      </w:r>
    </w:p>
    <w:p w:rsidR="00DD19CE" w:rsidRDefault="00DD19CE">
      <w:r>
        <w:rPr>
          <w:noProof/>
        </w:rPr>
        <w:lastRenderedPageBreak/>
        <w:drawing>
          <wp:inline distT="0" distB="0" distL="0" distR="0" wp14:anchorId="1FA0185A" wp14:editId="358A08CF">
            <wp:extent cx="5943600" cy="3140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140710"/>
                    </a:xfrm>
                    <a:prstGeom prst="rect">
                      <a:avLst/>
                    </a:prstGeom>
                  </pic:spPr>
                </pic:pic>
              </a:graphicData>
            </a:graphic>
          </wp:inline>
        </w:drawing>
      </w:r>
    </w:p>
    <w:p w:rsidR="0068036A" w:rsidRDefault="00DD19CE">
      <w:r w:rsidRPr="00DD19CE">
        <w:t>Figure 8. Graphical result of the resilient modulus test on samples of batch 2.</w:t>
      </w:r>
    </w:p>
    <w:p w:rsidR="0068036A" w:rsidRDefault="0068036A">
      <w:r>
        <w:br w:type="page"/>
      </w:r>
    </w:p>
    <w:p w:rsidR="0068036A" w:rsidRPr="0068036A" w:rsidRDefault="0068036A" w:rsidP="0068036A">
      <w:pPr>
        <w:rPr>
          <w:b/>
          <w:bCs/>
          <w:u w:val="single"/>
        </w:rPr>
      </w:pPr>
      <w:bookmarkStart w:id="3" w:name="_Toc169189808"/>
      <w:r w:rsidRPr="0068036A">
        <w:rPr>
          <w:b/>
          <w:bCs/>
          <w:u w:val="single"/>
        </w:rPr>
        <w:lastRenderedPageBreak/>
        <w:t>Methods</w:t>
      </w:r>
      <w:bookmarkEnd w:id="3"/>
    </w:p>
    <w:p w:rsidR="00C67866" w:rsidRDefault="0068036A">
      <w:r>
        <w:t xml:space="preserve">The Resilient Modulus (RM) tests were conducted following AASHTO T-307 guidelines using a calibrated </w:t>
      </w:r>
      <w:proofErr w:type="spellStart"/>
      <w:r>
        <w:t>GeoComp</w:t>
      </w:r>
      <w:proofErr w:type="spellEnd"/>
      <w:r>
        <w:t xml:space="preserve"> </w:t>
      </w:r>
      <w:proofErr w:type="spellStart"/>
      <w:r>
        <w:t>LoadTrac</w:t>
      </w:r>
      <w:proofErr w:type="spellEnd"/>
      <w:r>
        <w:t xml:space="preserve"> II load frame, a three-phase stepper motor cyclic actuator, and a Cyclic-RM Actuator Controller. The specimen was placed in a triaxial cell with a latex rubber membrane, and the confining pressure was controlled by regulated compressed air. Deviator stress was applied using the cyclic actuator, and displacement measurements were taken with two linear displacement transducers to calculate axial strain. The loading involved a haversine-shaped pulse with a 0.1-second load followed by a 0.9-second rest period. The test involved 15 sequences with varying confining pressure and deviator stress, performed in a drained condition with the sample valves vented to atmospheric pressure. The RM results were reported as the average of the moduli from the last five load pulses of each sequence.</w:t>
      </w:r>
    </w:p>
    <w:p w:rsidR="0068036A" w:rsidRDefault="0068036A">
      <w:r>
        <w:rPr>
          <w:noProof/>
        </w:rPr>
        <w:drawing>
          <wp:inline distT="0" distB="0" distL="0" distR="0" wp14:anchorId="13331728" wp14:editId="616C845F">
            <wp:extent cx="5269692" cy="361446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9874" cy="3628311"/>
                    </a:xfrm>
                    <a:prstGeom prst="rect">
                      <a:avLst/>
                    </a:prstGeom>
                  </pic:spPr>
                </pic:pic>
              </a:graphicData>
            </a:graphic>
          </wp:inline>
        </w:drawing>
      </w:r>
    </w:p>
    <w:p w:rsidR="0068036A" w:rsidRDefault="0068036A" w:rsidP="0068036A">
      <w:pPr>
        <w:rPr>
          <w:noProof/>
        </w:rPr>
      </w:pPr>
      <w:r w:rsidRPr="0068036A">
        <w:rPr>
          <w:noProof/>
        </w:rPr>
        <w:t>Resilient modulus of the LCC specimens as a function of confining stress.</w:t>
      </w:r>
    </w:p>
    <w:p w:rsidR="0068036A" w:rsidRDefault="0068036A" w:rsidP="0068036A">
      <w:r>
        <w:rPr>
          <w:noProof/>
        </w:rPr>
        <w:lastRenderedPageBreak/>
        <w:drawing>
          <wp:inline distT="0" distB="0" distL="0" distR="0" wp14:anchorId="379DD517" wp14:editId="5F4B8779">
            <wp:extent cx="5426015" cy="3596474"/>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0336" cy="3605966"/>
                    </a:xfrm>
                    <a:prstGeom prst="rect">
                      <a:avLst/>
                    </a:prstGeom>
                  </pic:spPr>
                </pic:pic>
              </a:graphicData>
            </a:graphic>
          </wp:inline>
        </w:drawing>
      </w:r>
    </w:p>
    <w:p w:rsidR="0068036A" w:rsidRDefault="0068036A" w:rsidP="0068036A">
      <w:pPr>
        <w:rPr>
          <w:noProof/>
        </w:rPr>
      </w:pPr>
      <w:r w:rsidRPr="0068036A">
        <w:rPr>
          <w:noProof/>
        </w:rPr>
        <w:t>Resilient modulus of the LCC specimens as a function of saturation.</w:t>
      </w:r>
    </w:p>
    <w:p w:rsidR="0068036A" w:rsidRDefault="0068036A" w:rsidP="0068036A">
      <w:r>
        <w:rPr>
          <w:noProof/>
        </w:rPr>
        <w:drawing>
          <wp:inline distT="0" distB="0" distL="0" distR="0" wp14:anchorId="24DC4C90" wp14:editId="53A23B52">
            <wp:extent cx="5425440" cy="373810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36198" cy="3745517"/>
                    </a:xfrm>
                    <a:prstGeom prst="rect">
                      <a:avLst/>
                    </a:prstGeom>
                  </pic:spPr>
                </pic:pic>
              </a:graphicData>
            </a:graphic>
          </wp:inline>
        </w:drawing>
      </w:r>
    </w:p>
    <w:p w:rsidR="0068036A" w:rsidRDefault="0068036A" w:rsidP="0068036A">
      <w:r>
        <w:t>Resilient modulus of the LCC specimens as a function of the dry unit weight.</w:t>
      </w:r>
    </w:p>
    <w:p w:rsidR="007B2A7B" w:rsidRDefault="007B2A7B" w:rsidP="0068036A">
      <w:r>
        <w:lastRenderedPageBreak/>
        <w:t xml:space="preserve">The RM tests were conducted with confinement pressures ranging from 3 to 20 psi and deviatoric stress from 3 to 40 psi, typical for base and subbase materials. The average RM was 71 </w:t>
      </w:r>
      <w:proofErr w:type="spellStart"/>
      <w:r>
        <w:t>ksi</w:t>
      </w:r>
      <w:proofErr w:type="spellEnd"/>
      <w:r>
        <w:t>, comparable to compacted granular materials (</w:t>
      </w:r>
      <w:proofErr w:type="spellStart"/>
      <w:r>
        <w:t>Davich</w:t>
      </w:r>
      <w:proofErr w:type="spellEnd"/>
      <w:r>
        <w:t xml:space="preserve"> et al., 2004). While RM was somewhat influenced by sample confinement, increasing saturation did not significantly affect it. Based on the data, an RM regression model was developed to estimate RM as a function of confining stress, deviatoric stress, and dry unit weight. The favorable RM results indicate that LCC can be a viable base material. (Seely)</w:t>
      </w:r>
    </w:p>
    <w:p w:rsidR="007B2A7B" w:rsidRDefault="007B2A7B" w:rsidP="0068036A">
      <w:bookmarkStart w:id="4" w:name="_GoBack"/>
      <w:bookmarkEnd w:id="4"/>
    </w:p>
    <w:p w:rsidR="007B2A7B" w:rsidRDefault="007B2A7B" w:rsidP="0068036A"/>
    <w:sectPr w:rsidR="007B2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56315"/>
    <w:multiLevelType w:val="multilevel"/>
    <w:tmpl w:val="D340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tDAwsQACS2MLcyUdpeDU4uLM/DyQAqNaABMyaJYsAAAA"/>
  </w:docVars>
  <w:rsids>
    <w:rsidRoot w:val="00DD19CE"/>
    <w:rsid w:val="0050417A"/>
    <w:rsid w:val="00547C86"/>
    <w:rsid w:val="005B5E2F"/>
    <w:rsid w:val="0068036A"/>
    <w:rsid w:val="007252F8"/>
    <w:rsid w:val="007B2A7B"/>
    <w:rsid w:val="00BA5FAC"/>
    <w:rsid w:val="00C67866"/>
    <w:rsid w:val="00C8652A"/>
    <w:rsid w:val="00C902BA"/>
    <w:rsid w:val="00DD19CE"/>
    <w:rsid w:val="00F4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67B6"/>
  <w15:chartTrackingRefBased/>
  <w15:docId w15:val="{0B8FE3BE-6C08-4182-A9BF-8FEF7D4B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67334">
      <w:bodyDiv w:val="1"/>
      <w:marLeft w:val="0"/>
      <w:marRight w:val="0"/>
      <w:marTop w:val="0"/>
      <w:marBottom w:val="0"/>
      <w:divBdr>
        <w:top w:val="none" w:sz="0" w:space="0" w:color="auto"/>
        <w:left w:val="none" w:sz="0" w:space="0" w:color="auto"/>
        <w:bottom w:val="none" w:sz="0" w:space="0" w:color="auto"/>
        <w:right w:val="none" w:sz="0" w:space="0" w:color="auto"/>
      </w:divBdr>
    </w:div>
    <w:div w:id="9092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8</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Bartlett</dc:creator>
  <cp:keywords/>
  <dc:description/>
  <cp:lastModifiedBy>Steven Bartlett</cp:lastModifiedBy>
  <cp:revision>6</cp:revision>
  <dcterms:created xsi:type="dcterms:W3CDTF">2025-03-10T22:07:00Z</dcterms:created>
  <dcterms:modified xsi:type="dcterms:W3CDTF">2025-03-12T17:27:00Z</dcterms:modified>
</cp:coreProperties>
</file>