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BA099" w14:textId="77777777" w:rsidR="00C14718" w:rsidRPr="00DE5A00" w:rsidRDefault="008D1762" w:rsidP="00DE5A00">
      <w:pPr>
        <w:rPr>
          <w:b/>
        </w:rPr>
      </w:pPr>
      <w:r w:rsidRPr="00DE5A00">
        <w:rPr>
          <w:b/>
        </w:rPr>
        <w:t>Title:</w:t>
      </w:r>
      <w:r w:rsidR="00C14718" w:rsidRPr="00DE5A00">
        <w:rPr>
          <w:b/>
        </w:rPr>
        <w:t xml:space="preserve"> </w:t>
      </w:r>
      <w:r w:rsidR="00963FDC">
        <w:rPr>
          <w:b/>
        </w:rPr>
        <w:t xml:space="preserve">Hydraulic and Durability </w:t>
      </w:r>
      <w:r w:rsidR="00C14718" w:rsidRPr="00DE5A00">
        <w:rPr>
          <w:b/>
        </w:rPr>
        <w:t>Properties of Lightweight Cellular Concrete</w:t>
      </w:r>
      <w:r w:rsidR="005B09E5">
        <w:rPr>
          <w:b/>
        </w:rPr>
        <w:t xml:space="preserve"> for </w:t>
      </w:r>
      <w:r w:rsidR="00A55266">
        <w:rPr>
          <w:b/>
        </w:rPr>
        <w:t xml:space="preserve">Urban </w:t>
      </w:r>
      <w:r w:rsidR="005B09E5">
        <w:rPr>
          <w:b/>
        </w:rPr>
        <w:t>Coastal Engineering</w:t>
      </w:r>
      <w:r w:rsidR="00C14718" w:rsidRPr="00DE5A00">
        <w:rPr>
          <w:b/>
        </w:rPr>
        <w:t xml:space="preserve"> </w:t>
      </w:r>
      <w:r w:rsidR="001B4DDE">
        <w:rPr>
          <w:b/>
        </w:rPr>
        <w:t>Applications</w:t>
      </w:r>
    </w:p>
    <w:p w14:paraId="765CE013" w14:textId="77777777" w:rsidR="008D1762" w:rsidRPr="00DE5A00" w:rsidRDefault="00C14718" w:rsidP="00DE5A00">
      <w:pPr>
        <w:pStyle w:val="Heading1"/>
      </w:pPr>
      <w:r w:rsidRPr="00DE5A00">
        <w:t>Abstract</w:t>
      </w:r>
    </w:p>
    <w:p w14:paraId="640D3894" w14:textId="77777777" w:rsidR="00DE5A00" w:rsidRPr="00DE5A00" w:rsidRDefault="00DE5A00">
      <w:r>
        <w:t>Seashore</w:t>
      </w:r>
    </w:p>
    <w:p w14:paraId="6A407362" w14:textId="77777777" w:rsidR="00C14718" w:rsidRDefault="00C14718" w:rsidP="00DE5A00">
      <w:pPr>
        <w:pStyle w:val="Heading1"/>
      </w:pPr>
      <w:r>
        <w:t>Introduction</w:t>
      </w:r>
    </w:p>
    <w:p w14:paraId="45976CD7" w14:textId="77777777" w:rsidR="00150AF4" w:rsidRDefault="00513DAC" w:rsidP="00DE5A00">
      <w:r>
        <w:t>L</w:t>
      </w:r>
      <w:r w:rsidRPr="00513DAC">
        <w:t>ightweight c</w:t>
      </w:r>
      <w:r w:rsidR="00DE5A00" w:rsidRPr="00513DAC">
        <w:t>ellular concrete</w:t>
      </w:r>
      <w:r w:rsidRPr="00513DAC">
        <w:t xml:space="preserve"> (LCC)</w:t>
      </w:r>
      <w:r w:rsidR="00DE5A00" w:rsidRPr="00513DAC">
        <w:t xml:space="preserve"> has been used in </w:t>
      </w:r>
      <w:r w:rsidR="00370D62">
        <w:t xml:space="preserve">coastal infrastructure </w:t>
      </w:r>
      <w:r w:rsidR="00DE5A00" w:rsidRPr="00513DAC">
        <w:t xml:space="preserve">projects due to its </w:t>
      </w:r>
      <w:r w:rsidR="00B576B8" w:rsidRPr="00513DAC">
        <w:t xml:space="preserve">(1) </w:t>
      </w:r>
      <w:r w:rsidR="00DE5A00" w:rsidRPr="00513DAC">
        <w:t xml:space="preserve">relatively low </w:t>
      </w:r>
      <w:r w:rsidR="00C8246B">
        <w:t>unit weight</w:t>
      </w:r>
      <w:r w:rsidR="00B576B8" w:rsidRPr="00513DAC">
        <w:t xml:space="preserve"> compared to structural concrete, which reduces the vertical load on soft coastal soils,</w:t>
      </w:r>
      <w:r w:rsidR="00E802DC" w:rsidRPr="00513DAC">
        <w:t xml:space="preserve"> reducing</w:t>
      </w:r>
      <w:r w:rsidR="00AA325B">
        <w:t xml:space="preserve"> consolidation</w:t>
      </w:r>
      <w:r w:rsidR="00E802DC" w:rsidRPr="00513DAC">
        <w:t xml:space="preserve"> settlement and improving </w:t>
      </w:r>
      <w:r w:rsidR="00AA325B">
        <w:t xml:space="preserve">the </w:t>
      </w:r>
      <w:r w:rsidR="00E802DC" w:rsidRPr="00513DAC">
        <w:t>bearing capacity for</w:t>
      </w:r>
      <w:r w:rsidR="00AA325B">
        <w:t xml:space="preserve"> soft soil sites and</w:t>
      </w:r>
      <w:r w:rsidRPr="00513DAC">
        <w:t xml:space="preserve"> reclaimed land</w:t>
      </w:r>
      <w:r w:rsidR="00AA325B">
        <w:t xml:space="preserve"> and their associated infrastructure (e.g.,</w:t>
      </w:r>
      <w:r w:rsidR="005B09E5" w:rsidRPr="00513DAC">
        <w:t xml:space="preserve"> roadways,</w:t>
      </w:r>
      <w:r w:rsidRPr="00513DAC">
        <w:t xml:space="preserve"> causeways,</w:t>
      </w:r>
      <w:r w:rsidR="00E802DC" w:rsidRPr="00513DAC">
        <w:t xml:space="preserve"> floodwalls,</w:t>
      </w:r>
      <w:r w:rsidRPr="00513DAC">
        <w:t xml:space="preserve"> </w:t>
      </w:r>
      <w:r w:rsidR="00E802DC" w:rsidRPr="00513DAC">
        <w:t>dikes</w:t>
      </w:r>
      <w:r w:rsidR="005B09E5" w:rsidRPr="00513DAC">
        <w:t>,</w:t>
      </w:r>
      <w:r w:rsidRPr="00513DAC">
        <w:t xml:space="preserve"> backfilling, bridge abutment</w:t>
      </w:r>
      <w:r w:rsidR="00AA325B">
        <w:t>s, green</w:t>
      </w:r>
      <w:r w:rsidR="005A5A32">
        <w:t xml:space="preserve"> </w:t>
      </w:r>
      <w:r w:rsidR="00AA325B">
        <w:t>roofs, etc.)</w:t>
      </w:r>
      <w:r w:rsidR="00150AF4">
        <w:t xml:space="preserve"> (</w:t>
      </w:r>
      <w:r w:rsidR="005B09E5">
        <w:t>Armaghani 2011</w:t>
      </w:r>
      <w:r w:rsidR="00A222E7">
        <w:t>;</w:t>
      </w:r>
      <w:r w:rsidR="00705E4F">
        <w:t xml:space="preserve"> Anderson et al., 2012</w:t>
      </w:r>
      <w:r w:rsidR="00A222E7">
        <w:t>;</w:t>
      </w:r>
      <w:r w:rsidR="005B09E5">
        <w:t xml:space="preserve"> </w:t>
      </w:r>
      <w:r w:rsidR="00150AF4">
        <w:t xml:space="preserve">Tiwari et al., 2017; ACI 523; </w:t>
      </w:r>
      <w:r w:rsidR="00705E4F">
        <w:t>Sutmoll</w:t>
      </w:r>
      <w:r w:rsidR="00A222E7">
        <w:t>e</w:t>
      </w:r>
      <w:r w:rsidR="00705E4F">
        <w:t xml:space="preserve">r et al., 2019, </w:t>
      </w:r>
      <w:r w:rsidR="00150AF4">
        <w:t xml:space="preserve">Tiwari et al., 2020; </w:t>
      </w:r>
      <w:r w:rsidR="005B09E5">
        <w:t>Amran et al., 2022, Seely 2024), (2</w:t>
      </w:r>
      <w:r w:rsidR="00B576B8">
        <w:t>)</w:t>
      </w:r>
      <w:r w:rsidR="005B09E5">
        <w:t xml:space="preserve"> favorable</w:t>
      </w:r>
      <w:r w:rsidR="00B576B8">
        <w:t xml:space="preserve"> </w:t>
      </w:r>
      <w:r w:rsidR="00DE5A00">
        <w:t>hydraulic properties</w:t>
      </w:r>
      <w:r w:rsidR="00E802DC">
        <w:t xml:space="preserve"> associated with open-cell, permeable</w:t>
      </w:r>
      <w:r w:rsidR="005B09E5">
        <w:t xml:space="preserve"> lightweight</w:t>
      </w:r>
      <w:r w:rsidR="00E802DC">
        <w:t xml:space="preserve"> </w:t>
      </w:r>
      <w:r w:rsidR="005B09E5">
        <w:t>cellular concrete (PLCC)</w:t>
      </w:r>
      <w:r w:rsidR="00E802DC">
        <w:t xml:space="preserve"> allowing for controlled water movement for drains, </w:t>
      </w:r>
      <w:r w:rsidR="005B09E5">
        <w:t xml:space="preserve">water </w:t>
      </w:r>
      <w:r w:rsidR="00E802DC">
        <w:t>retention</w:t>
      </w:r>
      <w:r w:rsidR="005B09E5">
        <w:t>/detention</w:t>
      </w:r>
      <w:r w:rsidR="00E802DC">
        <w:t>,</w:t>
      </w:r>
      <w:r>
        <w:t xml:space="preserve"> storage,</w:t>
      </w:r>
      <w:r w:rsidR="00E802DC">
        <w:t xml:space="preserve"> and</w:t>
      </w:r>
      <w:r w:rsidR="00AA325B">
        <w:t xml:space="preserve"> </w:t>
      </w:r>
      <w:proofErr w:type="spellStart"/>
      <w:r w:rsidR="00AA325B">
        <w:t>decenteralized</w:t>
      </w:r>
      <w:proofErr w:type="spellEnd"/>
      <w:r w:rsidR="00AA325B">
        <w:t xml:space="preserve"> </w:t>
      </w:r>
      <w:r w:rsidR="00150AF4">
        <w:t xml:space="preserve">stormwater </w:t>
      </w:r>
      <w:r>
        <w:t>management</w:t>
      </w:r>
      <w:r w:rsidR="00E802DC">
        <w:t xml:space="preserve"> systems</w:t>
      </w:r>
      <w:r w:rsidR="005B09E5">
        <w:t xml:space="preserve"> (</w:t>
      </w:r>
      <w:r w:rsidR="005A450A">
        <w:t>Bartlett et al., 2020</w:t>
      </w:r>
      <w:r w:rsidR="005A5A32">
        <w:t>a</w:t>
      </w:r>
      <w:r w:rsidR="00E802DC">
        <w:t>;</w:t>
      </w:r>
      <w:r w:rsidR="005A450A">
        <w:t xml:space="preserve"> </w:t>
      </w:r>
      <w:r w:rsidR="005B09E5">
        <w:t>2024</w:t>
      </w:r>
      <w:r w:rsidR="00A222E7">
        <w:t>;</w:t>
      </w:r>
      <w:r w:rsidR="00A222E7" w:rsidRPr="00A222E7">
        <w:t xml:space="preserve"> </w:t>
      </w:r>
      <w:r w:rsidR="00A222E7">
        <w:t>Inti et al., 2021</w:t>
      </w:r>
      <w:r w:rsidR="005B09E5">
        <w:t>), and (3)</w:t>
      </w:r>
      <w:r w:rsidR="00AA325B">
        <w:t xml:space="preserve"> </w:t>
      </w:r>
      <w:proofErr w:type="spellStart"/>
      <w:r w:rsidR="00AA325B">
        <w:t>realtively</w:t>
      </w:r>
      <w:proofErr w:type="spellEnd"/>
      <w:r w:rsidR="00AA325B">
        <w:t xml:space="preserve"> high strength-to-weight ratio and favorable</w:t>
      </w:r>
      <w:r w:rsidR="005B09E5">
        <w:t xml:space="preserve"> durability</w:t>
      </w:r>
      <w:r w:rsidR="00705E4F">
        <w:t xml:space="preserve"> </w:t>
      </w:r>
      <w:r w:rsidR="00AA325B">
        <w:t>with the potential use of</w:t>
      </w:r>
      <w:r w:rsidR="00705E4F">
        <w:t xml:space="preserve"> </w:t>
      </w:r>
      <w:r w:rsidR="005B09E5">
        <w:t xml:space="preserve">additives that </w:t>
      </w:r>
      <w:r w:rsidR="00705E4F">
        <w:t>resist</w:t>
      </w:r>
      <w:r w:rsidR="005B09E5">
        <w:t xml:space="preserve"> </w:t>
      </w:r>
      <w:r>
        <w:t>salt water</w:t>
      </w:r>
      <w:r w:rsidR="005B09E5">
        <w:t>, sulfate</w:t>
      </w:r>
      <w:r w:rsidR="00705E4F">
        <w:t>,</w:t>
      </w:r>
      <w:r w:rsidR="005B09E5">
        <w:t xml:space="preserve"> and freeze-thaw degradation</w:t>
      </w:r>
      <w:r w:rsidR="001C74FD">
        <w:t xml:space="preserve"> (</w:t>
      </w:r>
      <w:r w:rsidR="001C74FD" w:rsidRPr="00A222E7">
        <w:t>Tikalsky</w:t>
      </w:r>
      <w:r w:rsidR="001C74FD">
        <w:t>, 2004; Averyanov, 2018)</w:t>
      </w:r>
      <w:r w:rsidR="005B09E5">
        <w:t xml:space="preserve"> </w:t>
      </w:r>
      <w:r w:rsidR="00705E4F">
        <w:t>for</w:t>
      </w:r>
      <w:r w:rsidR="005B09E5">
        <w:t xml:space="preserve"> </w:t>
      </w:r>
      <w:r w:rsidR="00AA325B">
        <w:t>constructing coastal and nearshore</w:t>
      </w:r>
      <w:r w:rsidR="001C74FD">
        <w:t xml:space="preserve"> f</w:t>
      </w:r>
      <w:r w:rsidR="005B09E5">
        <w:t xml:space="preserve">eatures </w:t>
      </w:r>
      <w:r w:rsidR="005B09E5" w:rsidRPr="005B09E5">
        <w:t>(e.g., marinas, docks</w:t>
      </w:r>
      <w:r w:rsidR="001C74FD">
        <w:t>,</w:t>
      </w:r>
      <w:r w:rsidR="00705E4F">
        <w:t xml:space="preserve"> </w:t>
      </w:r>
      <w:r w:rsidR="00705E4F" w:rsidRPr="005B09E5">
        <w:t xml:space="preserve">partially submerged and floating </w:t>
      </w:r>
      <w:r w:rsidR="00705E4F">
        <w:t xml:space="preserve">systems, and </w:t>
      </w:r>
      <w:r w:rsidR="005B09E5">
        <w:t>artificial reefs</w:t>
      </w:r>
      <w:r w:rsidR="001C74FD">
        <w:t xml:space="preserve"> and revetments</w:t>
      </w:r>
      <w:r w:rsidR="005B09E5">
        <w:t>, etc.)</w:t>
      </w:r>
      <w:r w:rsidR="00A222E7">
        <w:t xml:space="preserve"> </w:t>
      </w:r>
      <w:r w:rsidR="005B09E5">
        <w:t>and (4)</w:t>
      </w:r>
      <w:r>
        <w:t xml:space="preserve"> filtering and sequestration </w:t>
      </w:r>
      <w:proofErr w:type="spellStart"/>
      <w:r w:rsidR="00AA325B">
        <w:t>capabilites</w:t>
      </w:r>
      <w:proofErr w:type="spellEnd"/>
      <w:r w:rsidR="00705E4F">
        <w:t xml:space="preserve"> to remove heavy metal contaminates </w:t>
      </w:r>
      <w:r w:rsidR="00A222E7">
        <w:t>(</w:t>
      </w:r>
      <w:proofErr w:type="spellStart"/>
      <w:r w:rsidR="00705E4F">
        <w:t>Martemianov</w:t>
      </w:r>
      <w:proofErr w:type="spellEnd"/>
      <w:r w:rsidR="00705E4F">
        <w:t xml:space="preserve"> et al., 2017; </w:t>
      </w:r>
      <w:proofErr w:type="spellStart"/>
      <w:r w:rsidR="00705E4F">
        <w:t>Alimohammad</w:t>
      </w:r>
      <w:proofErr w:type="spellEnd"/>
      <w:r w:rsidR="00705E4F">
        <w:t xml:space="preserve"> et al., 2021),</w:t>
      </w:r>
      <w:r>
        <w:t xml:space="preserve"> and </w:t>
      </w:r>
      <w:r w:rsidR="00705E4F">
        <w:t xml:space="preserve">(5) </w:t>
      </w:r>
      <w:r>
        <w:t>ability to</w:t>
      </w:r>
      <w:r w:rsidR="00E802DC">
        <w:t xml:space="preserve"> </w:t>
      </w:r>
      <w:r w:rsidR="00150AF4">
        <w:t xml:space="preserve">reduce embodied </w:t>
      </w:r>
      <w:proofErr w:type="spellStart"/>
      <w:r w:rsidR="00150AF4">
        <w:t>carbon.</w:t>
      </w:r>
      <w:r>
        <w:t>zzz</w:t>
      </w:r>
      <w:proofErr w:type="spellEnd"/>
      <w:r w:rsidR="005A450A">
        <w:t xml:space="preserve"> </w:t>
      </w:r>
      <w:r w:rsidR="00150AF4">
        <w:t>ADD REFERENCES TO SUPPORT THIS SECTION)</w:t>
      </w:r>
    </w:p>
    <w:p w14:paraId="5D373FB5" w14:textId="77777777" w:rsidR="005A450A" w:rsidRDefault="001C74FD" w:rsidP="005A450A">
      <w:r>
        <w:t xml:space="preserve">ACI 523.1R-06 classifies cellular concrete is classified into three types based on density and intended applications: (1) Type I Cellular Concrete with dry density from 400–800 kg/m³ (25–50 lb./ft³), (2) Type II, dry density from 800–1200 kg/m³ (50–75 lb./ft³), and (3) Type III Cellular Concrete, dry density from 1200–1900 kg/m³ (75–120 lb./ft³). </w:t>
      </w:r>
      <w:r w:rsidR="00AA325B">
        <w:t xml:space="preserve">This paper focuses on the properties, functions, and application of Type I Cellular Concrete, </w:t>
      </w:r>
      <w:r w:rsidR="00AA325B" w:rsidRPr="00705E4F">
        <w:t>also known as low-density cellular concrete (ACI Committee 523, 2006), foamed concrete (Amran et al., 2015, 2022), lightweight foamed concrete (Kozłowski and Kadela, 2018), or aerated concrete (Narayanan and Ramamurthy,</w:t>
      </w:r>
      <w:r w:rsidR="00AA325B">
        <w:t xml:space="preserve"> 2000).</w:t>
      </w:r>
      <w:r>
        <w:t xml:space="preserve"> The data presented herein are LCC and PLC, consisting of Portland Cement Concrete (PCC), water, and a foaming agent. However, other binders, fine aggregates (e.g., sand), and admixtures (e.g., polymer additives or pozzolanic materials, such as fly ash and silica fume) could be considered to enhance workability, strength, and durability (Arman et al., 2022). Generally, permeability and water storage decrease with increasing density, but shear strength and durability improve. The formulation of cellular concrete strikes a balance between an ultra-low dry density (400 to 560 kg/m³) and adequate shear strength and durability properties for the intended application.</w:t>
      </w:r>
    </w:p>
    <w:p w14:paraId="2B93E729" w14:textId="77777777" w:rsidR="005A450A" w:rsidRPr="005A450A" w:rsidRDefault="005A450A" w:rsidP="00671954">
      <w:pPr>
        <w:rPr>
          <w:b/>
        </w:rPr>
      </w:pPr>
      <w:r w:rsidRPr="005A450A">
        <w:rPr>
          <w:b/>
        </w:rPr>
        <w:t xml:space="preserve">Closed </w:t>
      </w:r>
      <w:r w:rsidR="008158BF">
        <w:rPr>
          <w:b/>
        </w:rPr>
        <w:t>and</w:t>
      </w:r>
      <w:r w:rsidRPr="005A450A">
        <w:rPr>
          <w:b/>
        </w:rPr>
        <w:t xml:space="preserve"> Open Cell Lightweight Cellular Concrete</w:t>
      </w:r>
    </w:p>
    <w:p w14:paraId="6417D2A7" w14:textId="77777777" w:rsidR="007C40E4" w:rsidRDefault="00705E4F" w:rsidP="003A64FB">
      <w:r>
        <w:t>Th</w:t>
      </w:r>
      <w:r w:rsidR="001C74FD">
        <w:t>e</w:t>
      </w:r>
      <w:r w:rsidR="006002CD">
        <w:t xml:space="preserve"> foaming agent of</w:t>
      </w:r>
      <w:r w:rsidR="001C74FD">
        <w:t xml:space="preserve"> LCC</w:t>
      </w:r>
      <w:r w:rsidR="006002CD">
        <w:t xml:space="preserve"> produce</w:t>
      </w:r>
      <w:r w:rsidR="001C74FD">
        <w:t>s</w:t>
      </w:r>
      <w:r w:rsidR="006002CD">
        <w:t xml:space="preserve"> </w:t>
      </w:r>
      <w:r w:rsidR="001C74FD">
        <w:t>spherical</w:t>
      </w:r>
      <w:r w:rsidR="006002CD">
        <w:t xml:space="preserve"> air bubbles surrounded by a</w:t>
      </w:r>
      <w:r w:rsidR="001C74FD">
        <w:t xml:space="preserve"> low to medium </w:t>
      </w:r>
      <w:r w:rsidR="006002CD">
        <w:t>permea</w:t>
      </w:r>
      <w:r w:rsidR="001C74FD">
        <w:t>bility</w:t>
      </w:r>
      <w:r w:rsidR="006002CD">
        <w:t xml:space="preserve"> matrix (Fig. 1 – left).</w:t>
      </w:r>
      <w:r w:rsidR="001C74FD">
        <w:t xml:space="preserve"> In comparison, PLCC, </w:t>
      </w:r>
      <w:r>
        <w:t xml:space="preserve">sometimes called Low Buoyancy Cellular Concrete (LBCC) (Masloff et al., 2022), </w:t>
      </w:r>
      <w:r w:rsidR="00671954">
        <w:t>is a</w:t>
      </w:r>
      <w:r w:rsidR="003A64FB">
        <w:t>n open-cell,</w:t>
      </w:r>
      <w:r w:rsidR="00671954">
        <w:t xml:space="preserve"> lightweight, highly porous cellular concrete with interconnected voids </w:t>
      </w:r>
      <w:r w:rsidR="00D72B40">
        <w:t xml:space="preserve">that allow water to flow through its structure (Fig. 1). </w:t>
      </w:r>
      <w:r w:rsidR="003A64FB">
        <w:t xml:space="preserve">No coarse aggregates are used </w:t>
      </w:r>
      <w:r w:rsidR="001C74FD">
        <w:t xml:space="preserve">in the mix </w:t>
      </w:r>
      <w:r w:rsidR="003A64FB">
        <w:t xml:space="preserve">to </w:t>
      </w:r>
      <w:r w:rsidR="003A64FB">
        <w:lastRenderedPageBreak/>
        <w:t xml:space="preserve">maintain </w:t>
      </w:r>
      <w:r w:rsidR="001C74FD">
        <w:t xml:space="preserve">higher </w:t>
      </w:r>
      <w:r w:rsidR="003A64FB">
        <w:t>permeability. Therefore, PLCC has</w:t>
      </w:r>
      <w:r w:rsidR="001C74FD">
        <w:t xml:space="preserve"> </w:t>
      </w:r>
      <w:r w:rsidR="00370D62">
        <w:t xml:space="preserve">lightweight </w:t>
      </w:r>
      <w:r w:rsidR="001C74FD">
        <w:t>applications</w:t>
      </w:r>
      <w:r w:rsidR="00370D62">
        <w:t xml:space="preserve"> </w:t>
      </w:r>
      <w:r w:rsidR="001C74FD">
        <w:t xml:space="preserve">similar to </w:t>
      </w:r>
      <w:r w:rsidR="00370D62">
        <w:t>LCC</w:t>
      </w:r>
      <w:r w:rsidR="00AA325B">
        <w:t xml:space="preserve"> </w:t>
      </w:r>
      <w:r w:rsidR="003A64FB">
        <w:t>but adds</w:t>
      </w:r>
      <w:r w:rsidR="00AA325B">
        <w:t xml:space="preserve"> drainage, water storage</w:t>
      </w:r>
      <w:r w:rsidR="003A64FB">
        <w:t>,</w:t>
      </w:r>
      <w:r w:rsidR="00AA325B">
        <w:t xml:space="preserve"> and </w:t>
      </w:r>
      <w:r w:rsidR="006002CD">
        <w:t xml:space="preserve">heavy metal </w:t>
      </w:r>
      <w:r w:rsidR="00AA325B">
        <w:t xml:space="preserve">sequestration </w:t>
      </w:r>
      <w:r w:rsidR="003A64FB">
        <w:t>functions</w:t>
      </w:r>
      <w:r w:rsidR="006002CD">
        <w:t>.</w:t>
      </w:r>
    </w:p>
    <w:p w14:paraId="00F94ACE" w14:textId="77777777" w:rsidR="005A450A" w:rsidRDefault="001C74FD" w:rsidP="00C8246B">
      <w:pPr>
        <w:pStyle w:val="Heading1"/>
      </w:pPr>
      <w:r>
        <w:rPr>
          <w:noProof/>
        </w:rPr>
        <w:drawing>
          <wp:anchor distT="0" distB="0" distL="114300" distR="114300" simplePos="0" relativeHeight="251658240" behindDoc="1" locked="0" layoutInCell="1" allowOverlap="1" wp14:anchorId="0DAEAA77" wp14:editId="00CE61F0">
            <wp:simplePos x="0" y="0"/>
            <wp:positionH relativeFrom="column">
              <wp:posOffset>3236595</wp:posOffset>
            </wp:positionH>
            <wp:positionV relativeFrom="paragraph">
              <wp:posOffset>111125</wp:posOffset>
            </wp:positionV>
            <wp:extent cx="2462530" cy="1209675"/>
            <wp:effectExtent l="0" t="0" r="0" b="9525"/>
            <wp:wrapTight wrapText="bothSides">
              <wp:wrapPolygon edited="0">
                <wp:start x="0" y="0"/>
                <wp:lineTo x="0" y="21430"/>
                <wp:lineTo x="21388" y="21430"/>
                <wp:lineTo x="213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C vs PLC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2530" cy="1209675"/>
                    </a:xfrm>
                    <a:prstGeom prst="rect">
                      <a:avLst/>
                    </a:prstGeom>
                  </pic:spPr>
                </pic:pic>
              </a:graphicData>
            </a:graphic>
            <wp14:sizeRelH relativeFrom="page">
              <wp14:pctWidth>0</wp14:pctWidth>
            </wp14:sizeRelH>
            <wp14:sizeRelV relativeFrom="page">
              <wp14:pctHeight>0</wp14:pctHeight>
            </wp14:sizeRelV>
          </wp:anchor>
        </w:drawing>
      </w:r>
      <w:r w:rsidR="005A450A">
        <w:t>Hydraulic Properties</w:t>
      </w:r>
      <w:r w:rsidR="003A64FB">
        <w:t xml:space="preserve"> of LCC</w:t>
      </w:r>
    </w:p>
    <w:p w14:paraId="76B77728" w14:textId="77777777" w:rsidR="001C74FD" w:rsidRDefault="001C74FD" w:rsidP="001C74FD">
      <w:r>
        <w:rPr>
          <w:noProof/>
        </w:rPr>
        <mc:AlternateContent>
          <mc:Choice Requires="wps">
            <w:drawing>
              <wp:anchor distT="0" distB="0" distL="114300" distR="114300" simplePos="0" relativeHeight="251660288" behindDoc="1" locked="0" layoutInCell="1" allowOverlap="1" wp14:anchorId="088FEB57" wp14:editId="14441019">
                <wp:simplePos x="0" y="0"/>
                <wp:positionH relativeFrom="column">
                  <wp:posOffset>3255010</wp:posOffset>
                </wp:positionH>
                <wp:positionV relativeFrom="paragraph">
                  <wp:posOffset>1052195</wp:posOffset>
                </wp:positionV>
                <wp:extent cx="2447925" cy="400050"/>
                <wp:effectExtent l="0" t="0" r="9525" b="0"/>
                <wp:wrapTight wrapText="bothSides">
                  <wp:wrapPolygon edited="0">
                    <wp:start x="0" y="0"/>
                    <wp:lineTo x="0" y="20571"/>
                    <wp:lineTo x="21516" y="20571"/>
                    <wp:lineTo x="2151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447925" cy="400050"/>
                        </a:xfrm>
                        <a:prstGeom prst="rect">
                          <a:avLst/>
                        </a:prstGeom>
                        <a:solidFill>
                          <a:prstClr val="white"/>
                        </a:solidFill>
                        <a:ln>
                          <a:noFill/>
                        </a:ln>
                      </wps:spPr>
                      <wps:txbx>
                        <w:txbxContent>
                          <w:p w14:paraId="0937EC11" w14:textId="77777777" w:rsidR="00AA6CD7" w:rsidRPr="00E44907" w:rsidRDefault="00AA6CD7" w:rsidP="00671954">
                            <w:pPr>
                              <w:pStyle w:val="Caption"/>
                              <w:rPr>
                                <w:noProof/>
                              </w:rPr>
                            </w:pPr>
                            <w:r>
                              <w:t xml:space="preserve">Fig. </w:t>
                            </w:r>
                            <w:fldSimple w:instr=" SEQ Fig. \* ARABIC ">
                              <w:r>
                                <w:rPr>
                                  <w:noProof/>
                                </w:rPr>
                                <w:t>1</w:t>
                              </w:r>
                            </w:fldSimple>
                            <w:r>
                              <w:t xml:space="preserve"> Comparison of the fabric of Closed-Cell Lightweight Cellular Concrete (LCC) (left) with Open-Cell Permeable Cellular Concrete (PLCC)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FEB57" id="_x0000_t202" coordsize="21600,21600" o:spt="202" path="m,l,21600r21600,l21600,xe">
                <v:stroke joinstyle="miter"/>
                <v:path gradientshapeok="t" o:connecttype="rect"/>
              </v:shapetype>
              <v:shape id="Text Box 12" o:spid="_x0000_s1026" type="#_x0000_t202" style="position:absolute;margin-left:256.3pt;margin-top:82.85pt;width:192.7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" stroked="f">
                <v:textbox inset="0,0,0,0">
                  <w:txbxContent>
                    <w:p w14:paraId="0937EC11" w14:textId="77777777" w:rsidR="00AA6CD7" w:rsidRPr="00E44907" w:rsidRDefault="00AA6CD7" w:rsidP="00671954">
                      <w:pPr>
                        <w:pStyle w:val="Caption"/>
                        <w:rPr>
                          <w:noProof/>
                        </w:rPr>
                      </w:pPr>
                      <w:r>
                        <w:t xml:space="preserve">Fig. </w:t>
                      </w:r>
                      <w:fldSimple w:instr=" SEQ Fig. \* ARABIC ">
                        <w:r>
                          <w:rPr>
                            <w:noProof/>
                          </w:rPr>
                          <w:t>1</w:t>
                        </w:r>
                      </w:fldSimple>
                      <w:r>
                        <w:t xml:space="preserve"> Comparison of the fabric of Closed-Cell Lightweight Cellular Concrete (LCC) (left) with Open-Cell Permeable Cellular Concrete (PLCC) (right).</w:t>
                      </w:r>
                    </w:p>
                  </w:txbxContent>
                </v:textbox>
                <w10:wrap type="tight"/>
              </v:shape>
            </w:pict>
          </mc:Fallback>
        </mc:AlternateContent>
      </w:r>
      <w:r w:rsidR="00370D62" w:rsidRPr="00705E4F">
        <w:t xml:space="preserve">The hydraulic </w:t>
      </w:r>
      <w:r w:rsidR="00370D62">
        <w:t>properties</w:t>
      </w:r>
      <w:r w:rsidR="00370D62" w:rsidRPr="00705E4F">
        <w:t xml:space="preserve"> of </w:t>
      </w:r>
      <w:r w:rsidR="00370D62">
        <w:t xml:space="preserve">LCC and PLCC </w:t>
      </w:r>
      <w:r w:rsidR="00370D62" w:rsidRPr="00705E4F">
        <w:t>var</w:t>
      </w:r>
      <w:r w:rsidR="00370D62">
        <w:t>y</w:t>
      </w:r>
      <w:r w:rsidR="00370D62" w:rsidRPr="00705E4F">
        <w:t xml:space="preserve"> significantly </w:t>
      </w:r>
      <w:r w:rsidR="006002CD">
        <w:t xml:space="preserve">because of aleatory variability resulting from the composition of the mix, </w:t>
      </w:r>
      <w:r w:rsidR="00963FDC">
        <w:t xml:space="preserve">foaming agent </w:t>
      </w:r>
      <w:r w:rsidR="006002CD">
        <w:t>installation method,</w:t>
      </w:r>
      <w:r w:rsidR="00AA325B">
        <w:t xml:space="preserve"> </w:t>
      </w:r>
      <w:r w:rsidR="006002CD">
        <w:t xml:space="preserve">or specimen creation </w:t>
      </w:r>
      <w:r w:rsidR="00AA325B">
        <w:t>process employe</w:t>
      </w:r>
      <w:r w:rsidR="006002CD">
        <w:t>d.</w:t>
      </w:r>
      <w:r w:rsidR="00370D62">
        <w:t xml:space="preserve"> </w:t>
      </w:r>
      <w:r>
        <w:t>Masloff and Paladino (2012) suggest classifying cellular concrete based on material type and hydraulic conductivity (Table 1).</w:t>
      </w:r>
    </w:p>
    <w:p w14:paraId="77632DD1" w14:textId="77777777" w:rsidR="001C74FD" w:rsidRDefault="001C74FD" w:rsidP="007C40E4">
      <w:pPr>
        <w:spacing w:after="0"/>
        <w:rPr>
          <w:b/>
        </w:rPr>
      </w:pPr>
    </w:p>
    <w:p w14:paraId="2C607288" w14:textId="77777777" w:rsidR="008314CF" w:rsidRDefault="008314CF" w:rsidP="007C40E4">
      <w:pPr>
        <w:spacing w:after="0"/>
        <w:rPr>
          <w:b/>
        </w:rPr>
      </w:pPr>
    </w:p>
    <w:p w14:paraId="32E1B312" w14:textId="68EB77D1" w:rsidR="007C40E4" w:rsidRPr="006002CD" w:rsidRDefault="007C40E4" w:rsidP="007C40E4">
      <w:pPr>
        <w:spacing w:after="0"/>
        <w:rPr>
          <w:b/>
        </w:rPr>
      </w:pPr>
      <w:r w:rsidRPr="006002CD">
        <w:rPr>
          <w:b/>
        </w:rPr>
        <w:t>Table 1. Relative values of hydraulic conductivity, k</w:t>
      </w:r>
      <w:r w:rsidR="006002CD">
        <w:rPr>
          <w:b/>
        </w:rPr>
        <w:t xml:space="preserve">, </w:t>
      </w:r>
      <w:r w:rsidR="00A222E7" w:rsidRPr="006002CD">
        <w:rPr>
          <w:b/>
        </w:rPr>
        <w:t>modified from Masloff and Paladino (2012)</w:t>
      </w:r>
    </w:p>
    <w:tbl>
      <w:tblPr>
        <w:tblStyle w:val="TableGrid"/>
        <w:tblW w:w="0" w:type="auto"/>
        <w:tblLook w:val="04A0" w:firstRow="1" w:lastRow="0" w:firstColumn="1" w:lastColumn="0" w:noHBand="0" w:noVBand="1"/>
      </w:tblPr>
      <w:tblGrid>
        <w:gridCol w:w="2245"/>
        <w:gridCol w:w="1710"/>
        <w:gridCol w:w="3150"/>
        <w:gridCol w:w="2070"/>
      </w:tblGrid>
      <w:tr w:rsidR="00A222E7" w14:paraId="645A2A01" w14:textId="77777777" w:rsidTr="00A222E7">
        <w:tc>
          <w:tcPr>
            <w:tcW w:w="2245" w:type="dxa"/>
          </w:tcPr>
          <w:p w14:paraId="179F9508" w14:textId="77777777" w:rsidR="00A222E7" w:rsidRPr="00A222E7" w:rsidRDefault="00A222E7" w:rsidP="00A222E7">
            <w:pPr>
              <w:jc w:val="center"/>
              <w:rPr>
                <w:b/>
              </w:rPr>
            </w:pPr>
            <w:r w:rsidRPr="00A222E7">
              <w:rPr>
                <w:b/>
              </w:rPr>
              <w:t>Relative Permeability</w:t>
            </w:r>
          </w:p>
        </w:tc>
        <w:tc>
          <w:tcPr>
            <w:tcW w:w="1710" w:type="dxa"/>
          </w:tcPr>
          <w:p w14:paraId="6024FF10" w14:textId="77777777" w:rsidR="00A222E7" w:rsidRPr="00A222E7" w:rsidRDefault="00A222E7" w:rsidP="00A222E7">
            <w:pPr>
              <w:jc w:val="center"/>
              <w:rPr>
                <w:b/>
              </w:rPr>
            </w:pPr>
            <w:r w:rsidRPr="00A222E7">
              <w:rPr>
                <w:b/>
              </w:rPr>
              <w:t>k (m/s)</w:t>
            </w:r>
          </w:p>
        </w:tc>
        <w:tc>
          <w:tcPr>
            <w:tcW w:w="3150" w:type="dxa"/>
          </w:tcPr>
          <w:p w14:paraId="0659FAA2" w14:textId="77777777" w:rsidR="00A222E7" w:rsidRPr="00A222E7" w:rsidRDefault="00A222E7" w:rsidP="00A222E7">
            <w:pPr>
              <w:jc w:val="center"/>
              <w:rPr>
                <w:b/>
              </w:rPr>
            </w:pPr>
            <w:r w:rsidRPr="00A222E7">
              <w:rPr>
                <w:b/>
              </w:rPr>
              <w:t>Geomaterial</w:t>
            </w:r>
          </w:p>
        </w:tc>
        <w:tc>
          <w:tcPr>
            <w:tcW w:w="2070" w:type="dxa"/>
          </w:tcPr>
          <w:p w14:paraId="44F0C8F5" w14:textId="77777777" w:rsidR="00A222E7" w:rsidRPr="00A222E7" w:rsidRDefault="00A222E7" w:rsidP="00A222E7">
            <w:pPr>
              <w:jc w:val="center"/>
              <w:rPr>
                <w:b/>
              </w:rPr>
            </w:pPr>
            <w:r w:rsidRPr="00A222E7">
              <w:rPr>
                <w:b/>
              </w:rPr>
              <w:t>Cellular Concrete</w:t>
            </w:r>
          </w:p>
        </w:tc>
      </w:tr>
      <w:tr w:rsidR="00A222E7" w14:paraId="709FDF63" w14:textId="77777777" w:rsidTr="00A222E7">
        <w:tc>
          <w:tcPr>
            <w:tcW w:w="2245" w:type="dxa"/>
          </w:tcPr>
          <w:p w14:paraId="720A61BF" w14:textId="77777777" w:rsidR="00A222E7" w:rsidRPr="00976AD5" w:rsidRDefault="00A222E7" w:rsidP="00AA6CD7">
            <w:pPr>
              <w:rPr>
                <w:i/>
                <w:sz w:val="20"/>
                <w:szCs w:val="20"/>
              </w:rPr>
            </w:pPr>
            <w:r w:rsidRPr="00976AD5">
              <w:rPr>
                <w:i/>
                <w:sz w:val="20"/>
                <w:szCs w:val="20"/>
              </w:rPr>
              <w:t>Very permeable</w:t>
            </w:r>
          </w:p>
        </w:tc>
        <w:tc>
          <w:tcPr>
            <w:tcW w:w="1710" w:type="dxa"/>
          </w:tcPr>
          <w:p w14:paraId="1354C01F" w14:textId="77777777" w:rsidR="00A222E7" w:rsidRPr="00976AD5" w:rsidRDefault="00CB1AA1" w:rsidP="00AA6CD7">
            <w:pPr>
              <w:rPr>
                <w:i/>
                <w:sz w:val="20"/>
                <w:szCs w:val="20"/>
              </w:rPr>
            </w:pPr>
            <w:r>
              <w:rPr>
                <w:i/>
                <w:sz w:val="20"/>
                <w:szCs w:val="20"/>
              </w:rPr>
              <w:t xml:space="preserve">k &gt; </w:t>
            </w:r>
            <w:r w:rsidR="00A222E7" w:rsidRPr="00976AD5">
              <w:rPr>
                <w:i/>
                <w:sz w:val="20"/>
                <w:szCs w:val="20"/>
              </w:rPr>
              <w:t>1x10</w:t>
            </w:r>
            <w:r w:rsidR="00A222E7" w:rsidRPr="00976AD5">
              <w:rPr>
                <w:i/>
                <w:sz w:val="20"/>
                <w:szCs w:val="20"/>
                <w:vertAlign w:val="superscript"/>
              </w:rPr>
              <w:t>-2</w:t>
            </w:r>
          </w:p>
        </w:tc>
        <w:tc>
          <w:tcPr>
            <w:tcW w:w="3150" w:type="dxa"/>
          </w:tcPr>
          <w:p w14:paraId="355B0FBF" w14:textId="77777777" w:rsidR="00A222E7" w:rsidRPr="00976AD5" w:rsidRDefault="00A222E7" w:rsidP="00AA6CD7">
            <w:pPr>
              <w:rPr>
                <w:i/>
                <w:sz w:val="20"/>
                <w:szCs w:val="20"/>
              </w:rPr>
            </w:pPr>
            <w:r w:rsidRPr="00976AD5">
              <w:rPr>
                <w:i/>
                <w:sz w:val="20"/>
                <w:szCs w:val="20"/>
              </w:rPr>
              <w:t>Gravel, Coarse Gravel</w:t>
            </w:r>
          </w:p>
        </w:tc>
        <w:tc>
          <w:tcPr>
            <w:tcW w:w="2070" w:type="dxa"/>
          </w:tcPr>
          <w:p w14:paraId="0177EBDB" w14:textId="77777777" w:rsidR="00A222E7" w:rsidRPr="00976AD5" w:rsidRDefault="00A222E7" w:rsidP="00AA6CD7">
            <w:pPr>
              <w:rPr>
                <w:i/>
                <w:sz w:val="20"/>
                <w:szCs w:val="20"/>
              </w:rPr>
            </w:pPr>
            <w:r w:rsidRPr="00976AD5">
              <w:rPr>
                <w:i/>
                <w:sz w:val="20"/>
                <w:szCs w:val="20"/>
              </w:rPr>
              <w:t>---</w:t>
            </w:r>
          </w:p>
        </w:tc>
      </w:tr>
      <w:tr w:rsidR="00A222E7" w14:paraId="471AB85D" w14:textId="77777777" w:rsidTr="00A222E7">
        <w:tc>
          <w:tcPr>
            <w:tcW w:w="2245" w:type="dxa"/>
          </w:tcPr>
          <w:p w14:paraId="4049C6F6" w14:textId="77777777" w:rsidR="00A222E7" w:rsidRPr="00976AD5" w:rsidRDefault="00A222E7" w:rsidP="00AA6CD7">
            <w:pPr>
              <w:rPr>
                <w:i/>
                <w:sz w:val="20"/>
                <w:szCs w:val="20"/>
              </w:rPr>
            </w:pPr>
            <w:r w:rsidRPr="00976AD5">
              <w:rPr>
                <w:i/>
                <w:sz w:val="20"/>
                <w:szCs w:val="20"/>
              </w:rPr>
              <w:t>Medium permeability</w:t>
            </w:r>
          </w:p>
        </w:tc>
        <w:tc>
          <w:tcPr>
            <w:tcW w:w="1710" w:type="dxa"/>
          </w:tcPr>
          <w:p w14:paraId="6962A342" w14:textId="77777777" w:rsidR="00A222E7" w:rsidRPr="00976AD5" w:rsidRDefault="00A222E7" w:rsidP="00AA6CD7">
            <w:pPr>
              <w:rPr>
                <w:i/>
                <w:sz w:val="20"/>
                <w:szCs w:val="20"/>
              </w:rPr>
            </w:pPr>
            <w:r w:rsidRPr="00976AD5">
              <w:rPr>
                <w:i/>
                <w:sz w:val="20"/>
                <w:szCs w:val="20"/>
              </w:rPr>
              <w:t>1x10</w:t>
            </w:r>
            <w:r w:rsidRPr="00976AD5">
              <w:rPr>
                <w:i/>
                <w:sz w:val="20"/>
                <w:szCs w:val="20"/>
                <w:vertAlign w:val="superscript"/>
              </w:rPr>
              <w:t>-5</w:t>
            </w:r>
            <w:r w:rsidRPr="00976AD5">
              <w:rPr>
                <w:i/>
                <w:sz w:val="20"/>
                <w:szCs w:val="20"/>
              </w:rPr>
              <w:t xml:space="preserve"> to </w:t>
            </w:r>
            <w:r w:rsidR="00CB1AA1">
              <w:rPr>
                <w:i/>
                <w:sz w:val="20"/>
                <w:szCs w:val="20"/>
              </w:rPr>
              <w:t>1x</w:t>
            </w:r>
            <w:r w:rsidRPr="00976AD5">
              <w:rPr>
                <w:i/>
                <w:sz w:val="20"/>
                <w:szCs w:val="20"/>
              </w:rPr>
              <w:t>10</w:t>
            </w:r>
            <w:r w:rsidRPr="00976AD5">
              <w:rPr>
                <w:i/>
                <w:sz w:val="20"/>
                <w:szCs w:val="20"/>
                <w:vertAlign w:val="superscript"/>
              </w:rPr>
              <w:t>-3</w:t>
            </w:r>
          </w:p>
        </w:tc>
        <w:tc>
          <w:tcPr>
            <w:tcW w:w="3150" w:type="dxa"/>
          </w:tcPr>
          <w:p w14:paraId="081DF74B" w14:textId="77777777" w:rsidR="00A222E7" w:rsidRPr="00976AD5" w:rsidRDefault="00A222E7" w:rsidP="00AA6CD7">
            <w:pPr>
              <w:rPr>
                <w:i/>
                <w:sz w:val="20"/>
                <w:szCs w:val="20"/>
              </w:rPr>
            </w:pPr>
            <w:r w:rsidRPr="00976AD5">
              <w:rPr>
                <w:i/>
                <w:sz w:val="20"/>
                <w:szCs w:val="20"/>
              </w:rPr>
              <w:t>Fine Sand, Sand, Coarse Sand</w:t>
            </w:r>
          </w:p>
        </w:tc>
        <w:tc>
          <w:tcPr>
            <w:tcW w:w="2070" w:type="dxa"/>
          </w:tcPr>
          <w:p w14:paraId="00A4A356" w14:textId="77777777" w:rsidR="00A222E7" w:rsidRPr="00976AD5" w:rsidRDefault="005A5A32" w:rsidP="00AA6CD7">
            <w:pPr>
              <w:rPr>
                <w:i/>
                <w:sz w:val="20"/>
                <w:szCs w:val="20"/>
              </w:rPr>
            </w:pPr>
            <w:r w:rsidRPr="00976AD5">
              <w:rPr>
                <w:i/>
                <w:sz w:val="20"/>
                <w:szCs w:val="20"/>
              </w:rPr>
              <w:t xml:space="preserve">LCC, </w:t>
            </w:r>
            <w:r w:rsidR="00A222E7" w:rsidRPr="00976AD5">
              <w:rPr>
                <w:i/>
                <w:sz w:val="20"/>
                <w:szCs w:val="20"/>
              </w:rPr>
              <w:t>PLCC</w:t>
            </w:r>
          </w:p>
        </w:tc>
      </w:tr>
      <w:tr w:rsidR="00A222E7" w14:paraId="4A12FB09" w14:textId="77777777" w:rsidTr="00A222E7">
        <w:tc>
          <w:tcPr>
            <w:tcW w:w="2245" w:type="dxa"/>
          </w:tcPr>
          <w:p w14:paraId="671FA25F" w14:textId="77777777" w:rsidR="00A222E7" w:rsidRPr="00976AD5" w:rsidRDefault="00A222E7" w:rsidP="00AA6CD7">
            <w:pPr>
              <w:rPr>
                <w:i/>
                <w:sz w:val="20"/>
                <w:szCs w:val="20"/>
              </w:rPr>
            </w:pPr>
            <w:r w:rsidRPr="00976AD5">
              <w:rPr>
                <w:i/>
                <w:sz w:val="20"/>
                <w:szCs w:val="20"/>
              </w:rPr>
              <w:t>Low permeability</w:t>
            </w:r>
          </w:p>
        </w:tc>
        <w:tc>
          <w:tcPr>
            <w:tcW w:w="1710" w:type="dxa"/>
          </w:tcPr>
          <w:p w14:paraId="43A512F8" w14:textId="77777777" w:rsidR="00A222E7" w:rsidRPr="00976AD5" w:rsidRDefault="00A222E7" w:rsidP="00AA6CD7">
            <w:pPr>
              <w:rPr>
                <w:i/>
                <w:sz w:val="20"/>
                <w:szCs w:val="20"/>
              </w:rPr>
            </w:pPr>
            <w:r w:rsidRPr="00976AD5">
              <w:rPr>
                <w:i/>
                <w:sz w:val="20"/>
                <w:szCs w:val="20"/>
              </w:rPr>
              <w:t>1x10</w:t>
            </w:r>
            <w:r w:rsidRPr="00976AD5">
              <w:rPr>
                <w:i/>
                <w:sz w:val="20"/>
                <w:szCs w:val="20"/>
                <w:vertAlign w:val="superscript"/>
              </w:rPr>
              <w:t>-5</w:t>
            </w:r>
            <w:r w:rsidRPr="00976AD5">
              <w:rPr>
                <w:i/>
                <w:sz w:val="20"/>
                <w:szCs w:val="20"/>
              </w:rPr>
              <w:t xml:space="preserve"> to 1x10</w:t>
            </w:r>
            <w:r w:rsidRPr="00976AD5">
              <w:rPr>
                <w:i/>
                <w:sz w:val="20"/>
                <w:szCs w:val="20"/>
                <w:vertAlign w:val="superscript"/>
              </w:rPr>
              <w:t>-7</w:t>
            </w:r>
          </w:p>
        </w:tc>
        <w:tc>
          <w:tcPr>
            <w:tcW w:w="3150" w:type="dxa"/>
          </w:tcPr>
          <w:p w14:paraId="2ED5829F" w14:textId="77777777" w:rsidR="00A222E7" w:rsidRPr="00976AD5" w:rsidRDefault="00A222E7" w:rsidP="00AA6CD7">
            <w:pPr>
              <w:rPr>
                <w:i/>
                <w:sz w:val="20"/>
                <w:szCs w:val="20"/>
              </w:rPr>
            </w:pPr>
            <w:r w:rsidRPr="00976AD5">
              <w:rPr>
                <w:i/>
                <w:sz w:val="20"/>
                <w:szCs w:val="20"/>
              </w:rPr>
              <w:t>Silty Sand, Silty-Clayey Sand</w:t>
            </w:r>
          </w:p>
        </w:tc>
        <w:tc>
          <w:tcPr>
            <w:tcW w:w="2070" w:type="dxa"/>
          </w:tcPr>
          <w:p w14:paraId="5000CF06" w14:textId="77777777" w:rsidR="00A222E7" w:rsidRPr="00976AD5" w:rsidRDefault="00A222E7" w:rsidP="00AA6CD7">
            <w:pPr>
              <w:rPr>
                <w:i/>
                <w:sz w:val="20"/>
                <w:szCs w:val="20"/>
              </w:rPr>
            </w:pPr>
            <w:r w:rsidRPr="00976AD5">
              <w:rPr>
                <w:i/>
                <w:sz w:val="20"/>
                <w:szCs w:val="20"/>
              </w:rPr>
              <w:t>LCC</w:t>
            </w:r>
          </w:p>
        </w:tc>
      </w:tr>
      <w:tr w:rsidR="00A222E7" w14:paraId="1085737F" w14:textId="77777777" w:rsidTr="00A222E7">
        <w:tc>
          <w:tcPr>
            <w:tcW w:w="2245" w:type="dxa"/>
          </w:tcPr>
          <w:p w14:paraId="55356AA6" w14:textId="77777777" w:rsidR="00A222E7" w:rsidRPr="00976AD5" w:rsidRDefault="00A222E7" w:rsidP="00AA6CD7">
            <w:pPr>
              <w:rPr>
                <w:i/>
                <w:sz w:val="20"/>
                <w:szCs w:val="20"/>
              </w:rPr>
            </w:pPr>
            <w:r w:rsidRPr="00976AD5">
              <w:rPr>
                <w:i/>
                <w:sz w:val="20"/>
                <w:szCs w:val="20"/>
              </w:rPr>
              <w:t>Very low permeability</w:t>
            </w:r>
          </w:p>
        </w:tc>
        <w:tc>
          <w:tcPr>
            <w:tcW w:w="1710" w:type="dxa"/>
          </w:tcPr>
          <w:p w14:paraId="7D494F19" w14:textId="77777777" w:rsidR="00A222E7" w:rsidRPr="00976AD5" w:rsidRDefault="00A222E7" w:rsidP="00AA6CD7">
            <w:pPr>
              <w:rPr>
                <w:i/>
                <w:sz w:val="20"/>
                <w:szCs w:val="20"/>
              </w:rPr>
            </w:pPr>
            <w:r w:rsidRPr="00976AD5">
              <w:rPr>
                <w:i/>
                <w:sz w:val="20"/>
                <w:szCs w:val="20"/>
              </w:rPr>
              <w:t>1x10</w:t>
            </w:r>
            <w:r w:rsidRPr="00976AD5">
              <w:rPr>
                <w:i/>
                <w:sz w:val="20"/>
                <w:szCs w:val="20"/>
                <w:vertAlign w:val="superscript"/>
              </w:rPr>
              <w:t>-7</w:t>
            </w:r>
            <w:r w:rsidRPr="00976AD5">
              <w:rPr>
                <w:i/>
                <w:sz w:val="20"/>
                <w:szCs w:val="20"/>
              </w:rPr>
              <w:t xml:space="preserve"> to 1x10</w:t>
            </w:r>
            <w:r w:rsidRPr="00976AD5">
              <w:rPr>
                <w:i/>
                <w:sz w:val="20"/>
                <w:szCs w:val="20"/>
                <w:vertAlign w:val="superscript"/>
              </w:rPr>
              <w:t>-9</w:t>
            </w:r>
          </w:p>
        </w:tc>
        <w:tc>
          <w:tcPr>
            <w:tcW w:w="3150" w:type="dxa"/>
          </w:tcPr>
          <w:p w14:paraId="006C6866" w14:textId="77777777" w:rsidR="00A222E7" w:rsidRPr="00976AD5" w:rsidRDefault="00A222E7" w:rsidP="00AA6CD7">
            <w:pPr>
              <w:rPr>
                <w:i/>
                <w:sz w:val="20"/>
                <w:szCs w:val="20"/>
              </w:rPr>
            </w:pPr>
            <w:r w:rsidRPr="00976AD5">
              <w:rPr>
                <w:i/>
                <w:sz w:val="20"/>
                <w:szCs w:val="20"/>
              </w:rPr>
              <w:t>Fine Sandstone, Silt</w:t>
            </w:r>
          </w:p>
        </w:tc>
        <w:tc>
          <w:tcPr>
            <w:tcW w:w="2070" w:type="dxa"/>
          </w:tcPr>
          <w:p w14:paraId="59EDBD56" w14:textId="77777777" w:rsidR="00A222E7" w:rsidRPr="00976AD5" w:rsidRDefault="00A222E7" w:rsidP="00AA6CD7">
            <w:pPr>
              <w:rPr>
                <w:i/>
                <w:sz w:val="20"/>
                <w:szCs w:val="20"/>
              </w:rPr>
            </w:pPr>
            <w:r w:rsidRPr="00976AD5">
              <w:rPr>
                <w:i/>
                <w:sz w:val="20"/>
                <w:szCs w:val="20"/>
              </w:rPr>
              <w:t>LCC</w:t>
            </w:r>
          </w:p>
        </w:tc>
      </w:tr>
      <w:tr w:rsidR="00A222E7" w14:paraId="6CBA6227" w14:textId="77777777" w:rsidTr="00A222E7">
        <w:tc>
          <w:tcPr>
            <w:tcW w:w="2245" w:type="dxa"/>
          </w:tcPr>
          <w:p w14:paraId="6AAC999D" w14:textId="77777777" w:rsidR="00A222E7" w:rsidRPr="00976AD5" w:rsidRDefault="00A222E7" w:rsidP="00AA6CD7">
            <w:pPr>
              <w:rPr>
                <w:i/>
                <w:sz w:val="20"/>
                <w:szCs w:val="20"/>
              </w:rPr>
            </w:pPr>
            <w:r w:rsidRPr="00976AD5">
              <w:rPr>
                <w:i/>
                <w:sz w:val="20"/>
                <w:szCs w:val="20"/>
              </w:rPr>
              <w:t>Impermeable</w:t>
            </w:r>
          </w:p>
        </w:tc>
        <w:tc>
          <w:tcPr>
            <w:tcW w:w="1710" w:type="dxa"/>
          </w:tcPr>
          <w:p w14:paraId="7A8E0B00" w14:textId="77777777" w:rsidR="00A222E7" w:rsidRPr="00976AD5" w:rsidRDefault="00A222E7" w:rsidP="00AA6CD7">
            <w:pPr>
              <w:rPr>
                <w:i/>
                <w:sz w:val="20"/>
                <w:szCs w:val="20"/>
              </w:rPr>
            </w:pPr>
            <w:r w:rsidRPr="00976AD5">
              <w:rPr>
                <w:i/>
                <w:sz w:val="20"/>
                <w:szCs w:val="20"/>
              </w:rPr>
              <w:t>k &lt; 1x10</w:t>
            </w:r>
            <w:r w:rsidRPr="00976AD5">
              <w:rPr>
                <w:i/>
                <w:sz w:val="20"/>
                <w:szCs w:val="20"/>
                <w:vertAlign w:val="superscript"/>
              </w:rPr>
              <w:t>-9</w:t>
            </w:r>
          </w:p>
        </w:tc>
        <w:tc>
          <w:tcPr>
            <w:tcW w:w="3150" w:type="dxa"/>
          </w:tcPr>
          <w:p w14:paraId="3648FF94" w14:textId="77777777" w:rsidR="00A222E7" w:rsidRPr="00976AD5" w:rsidRDefault="00A222E7" w:rsidP="00AA6CD7">
            <w:pPr>
              <w:rPr>
                <w:i/>
                <w:sz w:val="20"/>
                <w:szCs w:val="20"/>
              </w:rPr>
            </w:pPr>
            <w:r w:rsidRPr="00976AD5">
              <w:rPr>
                <w:i/>
                <w:sz w:val="20"/>
                <w:szCs w:val="20"/>
              </w:rPr>
              <w:t>Clay, Mudstone</w:t>
            </w:r>
          </w:p>
        </w:tc>
        <w:tc>
          <w:tcPr>
            <w:tcW w:w="2070" w:type="dxa"/>
          </w:tcPr>
          <w:p w14:paraId="29819EEB" w14:textId="77777777" w:rsidR="00A222E7" w:rsidRPr="00976AD5" w:rsidRDefault="00A222E7" w:rsidP="00AA6CD7">
            <w:pPr>
              <w:rPr>
                <w:i/>
                <w:sz w:val="20"/>
                <w:szCs w:val="20"/>
              </w:rPr>
            </w:pPr>
            <w:r w:rsidRPr="00976AD5">
              <w:rPr>
                <w:i/>
                <w:sz w:val="20"/>
                <w:szCs w:val="20"/>
              </w:rPr>
              <w:t>Structural Concrete</w:t>
            </w:r>
          </w:p>
        </w:tc>
      </w:tr>
    </w:tbl>
    <w:p w14:paraId="455468A1" w14:textId="77777777" w:rsidR="007C40E4" w:rsidRDefault="007C40E4" w:rsidP="007C40E4">
      <w:pPr>
        <w:spacing w:after="0"/>
      </w:pPr>
    </w:p>
    <w:p w14:paraId="523EC912" w14:textId="0B168A93" w:rsidR="001C74FD" w:rsidRDefault="00B23911" w:rsidP="00AA325B">
      <w:r>
        <w:rPr>
          <w:noProof/>
        </w:rPr>
        <mc:AlternateContent>
          <mc:Choice Requires="wps">
            <w:drawing>
              <wp:anchor distT="0" distB="0" distL="114300" distR="114300" simplePos="0" relativeHeight="251663360" behindDoc="1" locked="0" layoutInCell="1" allowOverlap="1" wp14:anchorId="122A437F" wp14:editId="7A6C2800">
                <wp:simplePos x="0" y="0"/>
                <wp:positionH relativeFrom="column">
                  <wp:posOffset>3556580</wp:posOffset>
                </wp:positionH>
                <wp:positionV relativeFrom="paragraph">
                  <wp:posOffset>3244657</wp:posOffset>
                </wp:positionV>
                <wp:extent cx="2294255"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294255" cy="635"/>
                        </a:xfrm>
                        <a:prstGeom prst="rect">
                          <a:avLst/>
                        </a:prstGeom>
                        <a:solidFill>
                          <a:prstClr val="white"/>
                        </a:solidFill>
                        <a:ln>
                          <a:noFill/>
                        </a:ln>
                      </wps:spPr>
                      <wps:txbx>
                        <w:txbxContent>
                          <w:p w14:paraId="4E8CB790" w14:textId="77777777" w:rsidR="00AA6CD7" w:rsidRPr="000C771B" w:rsidRDefault="00AA6CD7" w:rsidP="00E57E59">
                            <w:pPr>
                              <w:pStyle w:val="Caption"/>
                              <w:rPr>
                                <w:noProof/>
                              </w:rPr>
                            </w:pPr>
                            <w:r>
                              <w:t>Fig. 2 Flexible wall permeameter used for falling head testing of LCC.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2A437F" id="Text Box 16" o:spid="_x0000_s1027" type="#_x0000_t202" style="position:absolute;margin-left:280.05pt;margin-top:255.5pt;width:180.6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" stroked="f">
                <v:textbox style="mso-fit-shape-to-text:t" inset="0,0,0,0">
                  <w:txbxContent>
                    <w:p w14:paraId="4E8CB790" w14:textId="77777777" w:rsidR="00AA6CD7" w:rsidRPr="000C771B" w:rsidRDefault="00AA6CD7" w:rsidP="00E57E59">
                      <w:pPr>
                        <w:pStyle w:val="Caption"/>
                        <w:rPr>
                          <w:noProof/>
                        </w:rPr>
                      </w:pPr>
                      <w:r>
                        <w:t>Fig. 2 Flexible wall permeameter used for falling head testing of LCC.</w:t>
                      </w:r>
                    </w:p>
                  </w:txbxContent>
                </v:textbox>
                <w10:wrap type="tight"/>
              </v:shape>
            </w:pict>
          </mc:Fallback>
        </mc:AlternateContent>
      </w:r>
      <w:r>
        <w:rPr>
          <w:noProof/>
        </w:rPr>
        <w:drawing>
          <wp:anchor distT="0" distB="0" distL="114300" distR="114300" simplePos="0" relativeHeight="251661312" behindDoc="1" locked="0" layoutInCell="1" allowOverlap="1" wp14:anchorId="22478DC9" wp14:editId="2E172AF7">
            <wp:simplePos x="0" y="0"/>
            <wp:positionH relativeFrom="column">
              <wp:posOffset>3347085</wp:posOffset>
            </wp:positionH>
            <wp:positionV relativeFrom="paragraph">
              <wp:posOffset>552450</wp:posOffset>
            </wp:positionV>
            <wp:extent cx="2500630" cy="2559685"/>
            <wp:effectExtent l="0" t="0" r="0" b="0"/>
            <wp:wrapTight wrapText="bothSides">
              <wp:wrapPolygon edited="0">
                <wp:start x="0" y="0"/>
                <wp:lineTo x="0" y="21380"/>
                <wp:lineTo x="21392" y="21380"/>
                <wp:lineTo x="21392" y="0"/>
                <wp:lineTo x="0" y="0"/>
              </wp:wrapPolygon>
            </wp:wrapTight>
            <wp:docPr id="1333771176" name="Picture 2"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71176" name="Picture 2" descr="A close-up of a machin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956" b="4293"/>
                    <a:stretch/>
                  </pic:blipFill>
                  <pic:spPr bwMode="auto">
                    <a:xfrm>
                      <a:off x="0" y="0"/>
                      <a:ext cx="2500630" cy="255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25B">
        <w:t>Seely (2024) conducted</w:t>
      </w:r>
      <w:r w:rsidR="007C40E4">
        <w:t xml:space="preserve"> a suite of</w:t>
      </w:r>
      <w:r w:rsidR="00AA325B">
        <w:t xml:space="preserve"> </w:t>
      </w:r>
      <w:r w:rsidR="005A5A32">
        <w:t xml:space="preserve">falling head </w:t>
      </w:r>
      <w:r w:rsidR="00AA325B">
        <w:t xml:space="preserve">hydraulic conductivity tests on </w:t>
      </w:r>
      <w:r w:rsidR="007C40E4">
        <w:t>closed-cell L</w:t>
      </w:r>
      <w:r w:rsidR="00AA325B">
        <w:t xml:space="preserve">CC specimens using a flexible-wall permeameter (ASTM </w:t>
      </w:r>
      <w:r w:rsidR="00AA325B" w:rsidRPr="005A450A">
        <w:t>D5084-16a</w:t>
      </w:r>
      <w:r w:rsidR="00AA325B">
        <w:t>)</w:t>
      </w:r>
      <w:r w:rsidR="001C74FD">
        <w:t xml:space="preserve"> (Fig. 2).</w:t>
      </w:r>
      <w:r w:rsidR="00AA325B">
        <w:t xml:space="preserve"> Previous research has demonstrated that fluid flow bypass may occur between the specimen and the latex membrane when test specimens have a rough or porous surface on their circumference (Seely et al., 2014). </w:t>
      </w:r>
      <w:r w:rsidR="001C74FD">
        <w:t xml:space="preserve">Because </w:t>
      </w:r>
      <w:r w:rsidR="00AA325B">
        <w:t xml:space="preserve">LCC </w:t>
      </w:r>
      <w:r w:rsidR="001C74FD">
        <w:t xml:space="preserve">cylinders </w:t>
      </w:r>
      <w:r w:rsidR="00AA325B">
        <w:t>exhibit a rough, circumferential surface and ha</w:t>
      </w:r>
      <w:r w:rsidR="001C74FD">
        <w:t>ve</w:t>
      </w:r>
      <w:r w:rsidR="00AA325B">
        <w:t xml:space="preserve"> the potential to form a porous structure, depending on the degree of adhesion between the cement and the Styrofoam mold during the curing process</w:t>
      </w:r>
      <w:r w:rsidR="001C74FD">
        <w:t>, fluid bypass can occur.</w:t>
      </w:r>
      <w:r w:rsidR="00AA325B">
        <w:t xml:space="preserve"> Therefore, </w:t>
      </w:r>
      <w:r w:rsidR="001C74FD">
        <w:t xml:space="preserve">Seely (2024) used </w:t>
      </w:r>
      <w:r w:rsidR="00AA325B">
        <w:t>a sidewall treatment</w:t>
      </w:r>
      <w:r w:rsidR="001C74FD">
        <w:t xml:space="preserve"> </w:t>
      </w:r>
      <w:r w:rsidR="00B170F9">
        <w:t xml:space="preserve">to </w:t>
      </w:r>
      <w:r w:rsidR="00AA325B">
        <w:t>preclude</w:t>
      </w:r>
      <w:r w:rsidR="001C74FD">
        <w:t xml:space="preserve"> this</w:t>
      </w:r>
      <w:r w:rsidR="00AA325B">
        <w:t xml:space="preserve"> bypass. </w:t>
      </w:r>
      <w:r w:rsidR="001C74FD">
        <w:t xml:space="preserve">Each </w:t>
      </w:r>
      <w:r w:rsidR="00AA325B">
        <w:t xml:space="preserve">specimen sidewall was treated with a thin paste of hydrated CETCO Super Gel-X bentonite before the specimens were placed in a latex membrane and into the triaxial cell for testing. </w:t>
      </w:r>
      <w:r w:rsidR="001C74FD">
        <w:t>Subsequently, a</w:t>
      </w:r>
      <w:r w:rsidR="00AA325B">
        <w:t xml:space="preserve"> minor amount of effective confining stress was maintained while the pore pressure was systematically increased to saturate the test specimen. This method of saturation, termed back-pressure saturation, ultimately allowed for saturation of the specimen (i.e., B-value equal to or greater than 0.95).</w:t>
      </w:r>
      <w:r w:rsidR="007C40E4">
        <w:t xml:space="preserve"> </w:t>
      </w:r>
    </w:p>
    <w:p w14:paraId="4DB4968C" w14:textId="77777777" w:rsidR="001C74FD" w:rsidRDefault="001C74FD" w:rsidP="001C74FD">
      <w:pPr>
        <w:jc w:val="right"/>
      </w:pPr>
    </w:p>
    <w:p w14:paraId="24005EFD" w14:textId="77777777" w:rsidR="001C74FD" w:rsidRDefault="001C74FD" w:rsidP="001C74FD">
      <w:pPr>
        <w:jc w:val="right"/>
      </w:pPr>
    </w:p>
    <w:p w14:paraId="75371259" w14:textId="77777777" w:rsidR="001C74FD" w:rsidRDefault="00B23911" w:rsidP="001C74FD">
      <w:r>
        <w:rPr>
          <w:noProof/>
        </w:rPr>
        <w:lastRenderedPageBreak/>
        <mc:AlternateContent>
          <mc:Choice Requires="wps">
            <w:drawing>
              <wp:anchor distT="0" distB="0" distL="114300" distR="114300" simplePos="0" relativeHeight="251672576" behindDoc="1" locked="0" layoutInCell="1" allowOverlap="1" wp14:anchorId="49D8227E" wp14:editId="03B010AC">
                <wp:simplePos x="0" y="0"/>
                <wp:positionH relativeFrom="column">
                  <wp:posOffset>2313305</wp:posOffset>
                </wp:positionH>
                <wp:positionV relativeFrom="paragraph">
                  <wp:posOffset>2672080</wp:posOffset>
                </wp:positionV>
                <wp:extent cx="3538220" cy="301625"/>
                <wp:effectExtent l="0" t="0" r="5080" b="3175"/>
                <wp:wrapTight wrapText="bothSides">
                  <wp:wrapPolygon edited="0">
                    <wp:start x="0" y="0"/>
                    <wp:lineTo x="0" y="20463"/>
                    <wp:lineTo x="21515" y="20463"/>
                    <wp:lineTo x="2151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538220" cy="301625"/>
                        </a:xfrm>
                        <a:prstGeom prst="rect">
                          <a:avLst/>
                        </a:prstGeom>
                        <a:solidFill>
                          <a:prstClr val="white"/>
                        </a:solidFill>
                        <a:ln>
                          <a:noFill/>
                        </a:ln>
                      </wps:spPr>
                      <wps:txbx>
                        <w:txbxContent>
                          <w:p w14:paraId="2AD2D69A" w14:textId="77777777" w:rsidR="00AA6CD7" w:rsidRPr="00762F8D" w:rsidRDefault="00AA6CD7" w:rsidP="001C74FD">
                            <w:pPr>
                              <w:pStyle w:val="Caption"/>
                              <w:rPr>
                                <w:noProof/>
                              </w:rPr>
                            </w:pPr>
                            <w:r>
                              <w:t xml:space="preserve">Fig. 3 </w:t>
                            </w:r>
                            <w:r w:rsidRPr="00F120E7">
                              <w:t>Hydraulic conductivity over a range of effective confining stresses</w:t>
                            </w:r>
                            <w:r>
                              <w:t xml:space="preserve"> (Seely,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8227E" id="Text Box 3" o:spid="_x0000_s1028" type="#_x0000_t202" style="position:absolute;margin-left:182.15pt;margin-top:210.4pt;width:278.6pt;height:2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" stroked="f">
                <v:textbox inset="0,0,0,0">
                  <w:txbxContent>
                    <w:p w14:paraId="2AD2D69A" w14:textId="77777777" w:rsidR="00AA6CD7" w:rsidRPr="00762F8D" w:rsidRDefault="00AA6CD7" w:rsidP="001C74FD">
                      <w:pPr>
                        <w:pStyle w:val="Caption"/>
                        <w:rPr>
                          <w:noProof/>
                        </w:rPr>
                      </w:pPr>
                      <w:r>
                        <w:t xml:space="preserve">Fig. 3 </w:t>
                      </w:r>
                      <w:r w:rsidRPr="00F120E7">
                        <w:t>Hydraulic conductivity over a range of effective confining stresses</w:t>
                      </w:r>
                      <w:r>
                        <w:t xml:space="preserve"> (Seely, 2024.)</w:t>
                      </w:r>
                    </w:p>
                  </w:txbxContent>
                </v:textbox>
                <w10:wrap type="tight"/>
              </v:shape>
            </w:pict>
          </mc:Fallback>
        </mc:AlternateContent>
      </w:r>
      <w:r>
        <w:rPr>
          <w:noProof/>
        </w:rPr>
        <w:drawing>
          <wp:anchor distT="0" distB="0" distL="114300" distR="114300" simplePos="0" relativeHeight="251670528" behindDoc="1" locked="0" layoutInCell="1" allowOverlap="1" wp14:anchorId="147C423F" wp14:editId="7E06215B">
            <wp:simplePos x="0" y="0"/>
            <wp:positionH relativeFrom="column">
              <wp:posOffset>1817481</wp:posOffset>
            </wp:positionH>
            <wp:positionV relativeFrom="paragraph">
              <wp:posOffset>7813</wp:posOffset>
            </wp:positionV>
            <wp:extent cx="4188460" cy="2664460"/>
            <wp:effectExtent l="0" t="0" r="2540" b="2540"/>
            <wp:wrapTight wrapText="bothSides">
              <wp:wrapPolygon edited="0">
                <wp:start x="0" y="0"/>
                <wp:lineTo x="0" y="21466"/>
                <wp:lineTo x="21515" y="21466"/>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8460" cy="2664460"/>
                    </a:xfrm>
                    <a:prstGeom prst="rect">
                      <a:avLst/>
                    </a:prstGeom>
                  </pic:spPr>
                </pic:pic>
              </a:graphicData>
            </a:graphic>
            <wp14:sizeRelH relativeFrom="page">
              <wp14:pctWidth>0</wp14:pctWidth>
            </wp14:sizeRelH>
            <wp14:sizeRelV relativeFrom="page">
              <wp14:pctHeight>0</wp14:pctHeight>
            </wp14:sizeRelV>
          </wp:anchor>
        </w:drawing>
      </w:r>
      <w:r w:rsidR="001C74FD">
        <w:t>The testing showed that the hydraulic conductivity of LCC is somewhat affected by the confining stress applied to the specimens (Fig. 3). On average, the test specimens exhibited a 0.04 order-of-magnitude decrease in hydraulic conductivity as the confining stress increased from 17.5 to 70 kPa (Seely, 2024). The dry unit weight for these specimens ranged from 304 to 336 kg/m</w:t>
      </w:r>
      <w:r w:rsidR="001C74FD" w:rsidRPr="00C35BFE">
        <w:rPr>
          <w:vertAlign w:val="superscript"/>
        </w:rPr>
        <w:t>3</w:t>
      </w:r>
      <w:r w:rsidR="001C74FD" w:rsidRPr="00705E4F">
        <w:t>,</w:t>
      </w:r>
      <w:r w:rsidR="001C74FD">
        <w:t xml:space="preserve"> and the confining pressure varied from 17.5 to 70 kPa. The average hydraulic conductivity for all tests was 4.9x10</w:t>
      </w:r>
      <w:r w:rsidR="001C74FD" w:rsidRPr="005A450A">
        <w:rPr>
          <w:vertAlign w:val="superscript"/>
        </w:rPr>
        <w:t>-</w:t>
      </w:r>
      <w:r w:rsidR="001C74FD">
        <w:rPr>
          <w:vertAlign w:val="superscript"/>
        </w:rPr>
        <w:t xml:space="preserve">7 </w:t>
      </w:r>
      <w:r w:rsidR="001C74FD">
        <w:t>m/s, with a maximum of 1.0x10</w:t>
      </w:r>
      <w:r w:rsidR="001C74FD">
        <w:rPr>
          <w:vertAlign w:val="superscript"/>
        </w:rPr>
        <w:t>-6</w:t>
      </w:r>
      <w:r w:rsidR="001C74FD">
        <w:t xml:space="preserve"> and a minimum of 9.6x10</w:t>
      </w:r>
      <w:r w:rsidR="001C74FD" w:rsidRPr="005A450A">
        <w:rPr>
          <w:vertAlign w:val="superscript"/>
        </w:rPr>
        <w:t>-</w:t>
      </w:r>
      <w:r w:rsidR="001C74FD">
        <w:rPr>
          <w:vertAlign w:val="superscript"/>
        </w:rPr>
        <w:t>8</w:t>
      </w:r>
      <w:r w:rsidR="001C74FD">
        <w:t xml:space="preserve"> m/s. These values fall in the low permeability range (Table 1).</w:t>
      </w:r>
    </w:p>
    <w:p w14:paraId="5CC7D059" w14:textId="77777777" w:rsidR="00CA187F" w:rsidRDefault="00B23911" w:rsidP="00AA325B">
      <w:r>
        <w:rPr>
          <w:noProof/>
        </w:rPr>
        <mc:AlternateContent>
          <mc:Choice Requires="wps">
            <w:drawing>
              <wp:anchor distT="0" distB="0" distL="114300" distR="114300" simplePos="0" relativeHeight="251666432" behindDoc="1" locked="0" layoutInCell="1" allowOverlap="1" wp14:anchorId="4C3AA249" wp14:editId="007098AD">
                <wp:simplePos x="0" y="0"/>
                <wp:positionH relativeFrom="column">
                  <wp:posOffset>2562335</wp:posOffset>
                </wp:positionH>
                <wp:positionV relativeFrom="paragraph">
                  <wp:posOffset>3592665</wp:posOffset>
                </wp:positionV>
                <wp:extent cx="3085465"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3085465" cy="635"/>
                        </a:xfrm>
                        <a:prstGeom prst="rect">
                          <a:avLst/>
                        </a:prstGeom>
                        <a:solidFill>
                          <a:prstClr val="white"/>
                        </a:solidFill>
                        <a:ln>
                          <a:noFill/>
                        </a:ln>
                      </wps:spPr>
                      <wps:txbx>
                        <w:txbxContent>
                          <w:p w14:paraId="3AAC7532" w14:textId="77777777" w:rsidR="00AA6CD7" w:rsidRPr="007A5601" w:rsidRDefault="00AA6CD7" w:rsidP="005A5A32">
                            <w:pPr>
                              <w:pStyle w:val="Caption"/>
                              <w:rPr>
                                <w:noProof/>
                              </w:rPr>
                            </w:pPr>
                            <w:r>
                              <w:t>Fig 4. Rigid wall permeameter used for constant head testing of LCC (Bartlett et al., 2024</w:t>
                            </w:r>
                            <w:proofErr w:type="gramStart"/>
                            <w: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3AA249" id="Text Box 15" o:spid="_x0000_s1029" type="#_x0000_t202" style="position:absolute;margin-left:201.75pt;margin-top:282.9pt;width:242.9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" stroked="f">
                <v:textbox style="mso-fit-shape-to-text:t" inset="0,0,0,0">
                  <w:txbxContent>
                    <w:p w14:paraId="3AAC7532" w14:textId="77777777" w:rsidR="00AA6CD7" w:rsidRPr="007A5601" w:rsidRDefault="00AA6CD7" w:rsidP="005A5A32">
                      <w:pPr>
                        <w:pStyle w:val="Caption"/>
                        <w:rPr>
                          <w:noProof/>
                        </w:rPr>
                      </w:pPr>
                      <w:r>
                        <w:t>Fig 4. Rigid wall permeameter used for constant head testing of LCC (Bartlett et al., 2024</w:t>
                      </w:r>
                      <w:proofErr w:type="gramStart"/>
                      <w:r>
                        <w:t>)..</w:t>
                      </w:r>
                      <w:proofErr w:type="gramEnd"/>
                    </w:p>
                  </w:txbxContent>
                </v:textbox>
                <w10:wrap type="tight"/>
              </v:shape>
            </w:pict>
          </mc:Fallback>
        </mc:AlternateContent>
      </w:r>
      <w:r>
        <w:rPr>
          <w:noProof/>
        </w:rPr>
        <w:drawing>
          <wp:anchor distT="0" distB="0" distL="114300" distR="114300" simplePos="0" relativeHeight="251664384" behindDoc="1" locked="0" layoutInCell="1" allowOverlap="1" wp14:anchorId="7A9DC344" wp14:editId="593DF283">
            <wp:simplePos x="0" y="0"/>
            <wp:positionH relativeFrom="column">
              <wp:posOffset>2498228</wp:posOffset>
            </wp:positionH>
            <wp:positionV relativeFrom="paragraph">
              <wp:posOffset>180561</wp:posOffset>
            </wp:positionV>
            <wp:extent cx="3321685" cy="3267710"/>
            <wp:effectExtent l="0" t="0" r="0" b="8890"/>
            <wp:wrapTight wrapText="bothSides">
              <wp:wrapPolygon edited="0">
                <wp:start x="0" y="0"/>
                <wp:lineTo x="0" y="21533"/>
                <wp:lineTo x="21431" y="21533"/>
                <wp:lineTo x="214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st ce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1685" cy="3267710"/>
                    </a:xfrm>
                    <a:prstGeom prst="rect">
                      <a:avLst/>
                    </a:prstGeom>
                  </pic:spPr>
                </pic:pic>
              </a:graphicData>
            </a:graphic>
            <wp14:sizeRelH relativeFrom="page">
              <wp14:pctWidth>0</wp14:pctWidth>
            </wp14:sizeRelH>
            <wp14:sizeRelV relativeFrom="page">
              <wp14:pctHeight>0</wp14:pctHeight>
            </wp14:sizeRelV>
          </wp:anchor>
        </w:drawing>
      </w:r>
      <w:r w:rsidR="005A5A32">
        <w:t xml:space="preserve">In addition, Bartlett et al., 2024 performed constant head hydraulic conductivity tests on closed-cell LCC specimens </w:t>
      </w:r>
      <w:r w:rsidR="001C74FD">
        <w:t>using</w:t>
      </w:r>
      <w:r w:rsidR="005A5A32">
        <w:t xml:space="preserve"> a modified testing protocol of ASTM D2434 developed by Castle Rock Consulting</w:t>
      </w:r>
      <w:r w:rsidR="00AD6442">
        <w:t xml:space="preserve"> of Colorado</w:t>
      </w:r>
      <w:r w:rsidR="00963FDC">
        <w:t xml:space="preserve"> using the permeameter shown in Fig. </w:t>
      </w:r>
      <w:r w:rsidR="001C74FD">
        <w:t>4</w:t>
      </w:r>
      <w:r w:rsidR="00963FDC">
        <w:t xml:space="preserve"> (Bartlett et al., 2000b). </w:t>
      </w:r>
      <w:r w:rsidR="005A5A32">
        <w:t xml:space="preserve">The modifications made to the ASTM D2434 were related to sample fabrication and testing preparation. These </w:t>
      </w:r>
      <w:r w:rsidR="00963FDC">
        <w:t xml:space="preserve">variations </w:t>
      </w:r>
      <w:r w:rsidR="005A5A32">
        <w:t xml:space="preserve">were necessary because cellular concrete specimens differ significantly from permeable soils, for which the ASTM D2434 test </w:t>
      </w:r>
      <w:r w:rsidR="001C74FD">
        <w:t>was</w:t>
      </w:r>
      <w:r w:rsidR="005A5A32">
        <w:t xml:space="preserve"> intended. The LCC specimens (i.e., Batches 1 and 2) were prepared</w:t>
      </w:r>
      <w:r w:rsidR="00CA187F">
        <w:t xml:space="preserve"> by</w:t>
      </w:r>
      <w:r w:rsidR="005A5A32">
        <w:t xml:space="preserve"> </w:t>
      </w:r>
      <w:proofErr w:type="spellStart"/>
      <w:r w:rsidR="005A5A32">
        <w:t>Aerix</w:t>
      </w:r>
      <w:proofErr w:type="spellEnd"/>
      <w:r w:rsidR="005A5A32">
        <w:t xml:space="preserve"> Industries </w:t>
      </w:r>
      <w:r w:rsidR="00CA187F">
        <w:t xml:space="preserve">using their </w:t>
      </w:r>
      <w:r w:rsidR="005A5A32">
        <w:t>AQUAERIX™ foaming agent</w:t>
      </w:r>
      <w:r w:rsidR="00963FDC">
        <w:t xml:space="preserve"> (Bartlett 2024)</w:t>
      </w:r>
      <w:r w:rsidR="005A5A32">
        <w:t>.</w:t>
      </w:r>
    </w:p>
    <w:p w14:paraId="7890D573" w14:textId="42C0D271" w:rsidR="00CA187F" w:rsidRDefault="005A5A32" w:rsidP="00AA325B">
      <w:r>
        <w:t>Batch 1 consisted of 14 specimens</w:t>
      </w:r>
      <w:r w:rsidR="004E56DC">
        <w:t>, with</w:t>
      </w:r>
      <w:r w:rsidR="00CA187F">
        <w:t xml:space="preserve"> a dry density ranging from 330 to 367 kg/m³ with</w:t>
      </w:r>
      <w:r w:rsidR="004E56DC">
        <w:t xml:space="preserve"> an average of 35</w:t>
      </w:r>
      <w:r w:rsidR="00CA187F">
        <w:t>3</w:t>
      </w:r>
      <w:r w:rsidR="004E56DC">
        <w:t xml:space="preserve"> </w:t>
      </w:r>
      <w:r w:rsidR="00CA187F">
        <w:t xml:space="preserve">and a standard deviation of 13 kg/m³. The total </w:t>
      </w:r>
      <w:r w:rsidR="004E56DC">
        <w:t>density</w:t>
      </w:r>
      <w:r w:rsidR="00B23911">
        <w:t xml:space="preserve"> </w:t>
      </w:r>
      <w:r w:rsidR="00CA187F">
        <w:t xml:space="preserve">ranged </w:t>
      </w:r>
      <w:r w:rsidR="00B23911">
        <w:t>from 734 to 823</w:t>
      </w:r>
      <w:r w:rsidR="00CA187F">
        <w:t xml:space="preserve"> kg/m³ </w:t>
      </w:r>
      <w:r w:rsidR="00B23911">
        <w:t>with an average o</w:t>
      </w:r>
      <w:r w:rsidR="004E56DC">
        <w:t>f 79</w:t>
      </w:r>
      <w:r w:rsidR="00CA187F">
        <w:t>4 and a standard deviation of 25 kg/m³. The average hydraulic conductivity was 1.4×10</w:t>
      </w:r>
      <w:r w:rsidR="00CA187F" w:rsidRPr="00AD6442">
        <w:rPr>
          <w:vertAlign w:val="superscript"/>
        </w:rPr>
        <w:t>-4</w:t>
      </w:r>
      <w:r w:rsidR="00CE26CD">
        <w:rPr>
          <w:vertAlign w:val="superscript"/>
        </w:rPr>
        <w:t xml:space="preserve"> </w:t>
      </w:r>
      <w:r w:rsidR="00CA187F">
        <w:t>m/s, with a standard deviation of 9.3 x 10</w:t>
      </w:r>
      <w:r w:rsidR="00CA187F" w:rsidRPr="00AD6442">
        <w:rPr>
          <w:vertAlign w:val="superscript"/>
        </w:rPr>
        <w:t>-</w:t>
      </w:r>
      <w:r w:rsidR="00CA187F">
        <w:rPr>
          <w:vertAlign w:val="superscript"/>
        </w:rPr>
        <w:t>5</w:t>
      </w:r>
      <w:r w:rsidR="00CA187F">
        <w:t xml:space="preserve"> m/s and a</w:t>
      </w:r>
      <w:r w:rsidR="002B6BE1">
        <w:t xml:space="preserve">n average </w:t>
      </w:r>
      <w:r w:rsidR="00CA187F">
        <w:t xml:space="preserve">water absorption capacity (i.e., the </w:t>
      </w:r>
      <w:r w:rsidR="00CA187F">
        <w:lastRenderedPageBreak/>
        <w:t>volume of water absorbed per unit volume of the LCC specimen) of 44.2% with a standard deviation of 3.22%.</w:t>
      </w:r>
      <w:r>
        <w:t xml:space="preserve"> </w:t>
      </w:r>
      <w:r w:rsidR="00CA187F">
        <w:t xml:space="preserve">We </w:t>
      </w:r>
      <w:r w:rsidR="004E56DC">
        <w:t xml:space="preserve">use the </w:t>
      </w:r>
      <w:r w:rsidR="00CA187F">
        <w:t>nomenclature of "</w:t>
      </w:r>
      <w:r w:rsidR="00AA6CD7">
        <w:t>total</w:t>
      </w:r>
      <w:r w:rsidR="004E56DC">
        <w:t xml:space="preserve"> density</w:t>
      </w:r>
      <w:r w:rsidR="00CA187F">
        <w:t>"</w:t>
      </w:r>
      <w:r w:rsidR="004E56DC">
        <w:t xml:space="preserve"> </w:t>
      </w:r>
      <w:r w:rsidR="00CA187F">
        <w:t>i</w:t>
      </w:r>
      <w:r w:rsidR="004E56DC">
        <w:t xml:space="preserve">nstead of </w:t>
      </w:r>
      <w:r w:rsidR="00CA187F">
        <w:t>"</w:t>
      </w:r>
      <w:r w:rsidR="004E56DC">
        <w:t>saturated density</w:t>
      </w:r>
      <w:r w:rsidR="00CA187F">
        <w:t>" above</w:t>
      </w:r>
      <w:r w:rsidR="004E56DC">
        <w:t xml:space="preserve"> because LCC specimens do not </w:t>
      </w:r>
      <w:r w:rsidR="00CA187F">
        <w:t xml:space="preserve">become fully </w:t>
      </w:r>
      <w:r w:rsidR="004E56DC">
        <w:t xml:space="preserve">saturated unless back-pressure saturation is </w:t>
      </w:r>
      <w:r w:rsidR="00CA187F">
        <w:t xml:space="preserve">used via </w:t>
      </w:r>
      <w:r w:rsidR="004E56DC">
        <w:t>a pressurized cell.</w:t>
      </w:r>
      <w:r w:rsidR="00AA6CD7">
        <w:t xml:space="preserve"> </w:t>
      </w:r>
      <w:r w:rsidR="00CA187F">
        <w:t>Thus, t</w:t>
      </w:r>
      <w:r w:rsidR="00AA6CD7">
        <w:t>he total density</w:t>
      </w:r>
      <w:r w:rsidR="00CA187F">
        <w:t xml:space="preserve"> reported for the constant head testing </w:t>
      </w:r>
      <w:r w:rsidR="00AA6CD7">
        <w:t>represents the</w:t>
      </w:r>
      <w:r w:rsidR="00CA187F">
        <w:t xml:space="preserve"> dry unit plus the additional weight of water gained by flowing water through the sample without back-pressure saturation, allowing the specimen to reach steady-state flow and measuring its wet density in this state.</w:t>
      </w:r>
    </w:p>
    <w:p w14:paraId="675984ED" w14:textId="0FD4883B" w:rsidR="005A5A32" w:rsidRDefault="00CA187F" w:rsidP="00AA325B">
      <w:r>
        <w:t>Batch 2 consisted of 19 specimens with dry density ranging from 444 to 474 kg/m³ with an average of 457 and a standard deviation of 8.3 kg/m³. The total density ranged from 708 to 82</w:t>
      </w:r>
      <w:r w:rsidR="001348FA">
        <w:t>7</w:t>
      </w:r>
      <w:r>
        <w:t xml:space="preserve"> kg/m³ with an average of 807 and a standard deviation of 26 kg/m³.</w:t>
      </w:r>
      <w:r w:rsidRPr="00CA187F">
        <w:t xml:space="preserve"> </w:t>
      </w:r>
      <w:r>
        <w:t>The average hydraulic conductivity was 2.2x10</w:t>
      </w:r>
      <w:r w:rsidRPr="005A5A32">
        <w:rPr>
          <w:vertAlign w:val="superscript"/>
        </w:rPr>
        <w:t>-5</w:t>
      </w:r>
      <w:r w:rsidRPr="006002CD">
        <w:t xml:space="preserve"> </w:t>
      </w:r>
      <w:r>
        <w:t>m/s, with a standard deviation of 2.7x10</w:t>
      </w:r>
      <w:r w:rsidRPr="005A5A32">
        <w:rPr>
          <w:vertAlign w:val="superscript"/>
        </w:rPr>
        <w:t>-</w:t>
      </w:r>
      <w:r>
        <w:rPr>
          <w:vertAlign w:val="superscript"/>
        </w:rPr>
        <w:t>5</w:t>
      </w:r>
      <w:r w:rsidRPr="006002CD">
        <w:t xml:space="preserve"> </w:t>
      </w:r>
      <w:r>
        <w:t>m/s, an</w:t>
      </w:r>
      <w:r w:rsidR="002B6BE1">
        <w:t xml:space="preserve"> average</w:t>
      </w:r>
      <w:r>
        <w:t xml:space="preserve"> absorption capacity of 35.0%, and a standard deviation of 2.78%. </w:t>
      </w:r>
      <w:r w:rsidR="006002CD">
        <w:t>The hydraulic conductivity of</w:t>
      </w:r>
      <w:r w:rsidR="00887023">
        <w:t xml:space="preserve"> these batches</w:t>
      </w:r>
      <w:r w:rsidR="005A5A32">
        <w:t xml:space="preserve"> fall</w:t>
      </w:r>
      <w:r w:rsidR="006002CD">
        <w:t>s</w:t>
      </w:r>
      <w:r w:rsidR="005A5A32">
        <w:t xml:space="preserve"> within the</w:t>
      </w:r>
      <w:r w:rsidR="00887023">
        <w:t xml:space="preserve"> medium to </w:t>
      </w:r>
      <w:r w:rsidR="006002CD">
        <w:t>lower</w:t>
      </w:r>
      <w:r w:rsidR="00887023">
        <w:t xml:space="preserve"> bound</w:t>
      </w:r>
      <w:r w:rsidR="006002CD">
        <w:t xml:space="preserve"> of the</w:t>
      </w:r>
      <w:r w:rsidR="005A5A32">
        <w:t xml:space="preserve"> </w:t>
      </w:r>
      <w:r w:rsidR="006002CD">
        <w:t>medium</w:t>
      </w:r>
      <w:r w:rsidR="00887023">
        <w:t xml:space="preserve"> permeability </w:t>
      </w:r>
      <w:r w:rsidR="006002CD">
        <w:t>range (</w:t>
      </w:r>
      <w:r w:rsidR="005A5A32">
        <w:t>Table 1)</w:t>
      </w:r>
    </w:p>
    <w:p w14:paraId="704D6484" w14:textId="2538B87E" w:rsidR="006002CD" w:rsidRDefault="00B23911" w:rsidP="005A5A32">
      <w:r>
        <w:rPr>
          <w:noProof/>
        </w:rPr>
        <mc:AlternateContent>
          <mc:Choice Requires="wps">
            <w:drawing>
              <wp:anchor distT="0" distB="0" distL="114300" distR="114300" simplePos="0" relativeHeight="251675648" behindDoc="1" locked="0" layoutInCell="1" allowOverlap="1" wp14:anchorId="1E1B7D62" wp14:editId="1FA5D033">
                <wp:simplePos x="0" y="0"/>
                <wp:positionH relativeFrom="column">
                  <wp:posOffset>2868930</wp:posOffset>
                </wp:positionH>
                <wp:positionV relativeFrom="paragraph">
                  <wp:posOffset>2580005</wp:posOffset>
                </wp:positionV>
                <wp:extent cx="3070225" cy="635"/>
                <wp:effectExtent l="0" t="0" r="0" b="0"/>
                <wp:wrapTight wrapText="bothSides">
                  <wp:wrapPolygon edited="0">
                    <wp:start x="0" y="0"/>
                    <wp:lineTo x="0" y="20057"/>
                    <wp:lineTo x="21444" y="20057"/>
                    <wp:lineTo x="2144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070225" cy="635"/>
                        </a:xfrm>
                        <a:prstGeom prst="rect">
                          <a:avLst/>
                        </a:prstGeom>
                        <a:solidFill>
                          <a:prstClr val="white"/>
                        </a:solidFill>
                        <a:ln>
                          <a:noFill/>
                        </a:ln>
                      </wps:spPr>
                      <wps:txbx>
                        <w:txbxContent>
                          <w:p w14:paraId="2618C3BA" w14:textId="77777777" w:rsidR="00AA6CD7" w:rsidRPr="007F3606" w:rsidRDefault="00AA6CD7" w:rsidP="00855855">
                            <w:pPr>
                              <w:pStyle w:val="Caption"/>
                              <w:rPr>
                                <w:noProof/>
                              </w:rPr>
                            </w:pPr>
                            <w:r>
                              <w:t xml:space="preserve">Fig. 5 Double Ring Infiltrometer </w:t>
                            </w:r>
                            <w:proofErr w:type="spellStart"/>
                            <w:r>
                              <w:t>withf</w:t>
                            </w:r>
                            <w:proofErr w:type="spellEnd"/>
                            <w:r>
                              <w:t xml:space="preserve"> LCC placed in a holding tank.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1B7D62" id="Text Box 7" o:spid="_x0000_s1030" type="#_x0000_t202" style="position:absolute;margin-left:225.9pt;margin-top:203.15pt;width:241.75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" stroked="f">
                <v:textbox style="mso-fit-shape-to-text:t" inset="0,0,0,0">
                  <w:txbxContent>
                    <w:p w14:paraId="2618C3BA" w14:textId="77777777" w:rsidR="00AA6CD7" w:rsidRPr="007F3606" w:rsidRDefault="00AA6CD7" w:rsidP="00855855">
                      <w:pPr>
                        <w:pStyle w:val="Caption"/>
                        <w:rPr>
                          <w:noProof/>
                        </w:rPr>
                      </w:pPr>
                      <w:r>
                        <w:t xml:space="preserve">Fig. 5 Double Ring Infiltrometer </w:t>
                      </w:r>
                      <w:proofErr w:type="spellStart"/>
                      <w:r>
                        <w:t>withf</w:t>
                      </w:r>
                      <w:proofErr w:type="spellEnd"/>
                      <w:r>
                        <w:t xml:space="preserve"> LCC placed in a holding tank.</w:t>
                      </w:r>
                    </w:p>
                  </w:txbxContent>
                </v:textbox>
                <w10:wrap type="tight"/>
              </v:shape>
            </w:pict>
          </mc:Fallback>
        </mc:AlternateContent>
      </w:r>
      <w:r>
        <w:rPr>
          <w:noProof/>
        </w:rPr>
        <w:drawing>
          <wp:anchor distT="0" distB="0" distL="114300" distR="114300" simplePos="0" relativeHeight="251673600" behindDoc="1" locked="0" layoutInCell="1" allowOverlap="1" wp14:anchorId="373105D3" wp14:editId="6EB94C90">
            <wp:simplePos x="0" y="0"/>
            <wp:positionH relativeFrom="column">
              <wp:posOffset>2847340</wp:posOffset>
            </wp:positionH>
            <wp:positionV relativeFrom="paragraph">
              <wp:posOffset>55245</wp:posOffset>
            </wp:positionV>
            <wp:extent cx="2971165" cy="2524760"/>
            <wp:effectExtent l="0" t="0" r="635" b="8890"/>
            <wp:wrapTight wrapText="bothSides">
              <wp:wrapPolygon edited="0">
                <wp:start x="0" y="0"/>
                <wp:lineTo x="0" y="21513"/>
                <wp:lineTo x="21466" y="21513"/>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uble Ring Infiltrometer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165" cy="2524760"/>
                    </a:xfrm>
                    <a:prstGeom prst="rect">
                      <a:avLst/>
                    </a:prstGeom>
                  </pic:spPr>
                </pic:pic>
              </a:graphicData>
            </a:graphic>
            <wp14:sizeRelH relativeFrom="page">
              <wp14:pctWidth>0</wp14:pctWidth>
            </wp14:sizeRelH>
            <wp14:sizeRelV relativeFrom="page">
              <wp14:pctHeight>0</wp14:pctHeight>
            </wp14:sizeRelV>
          </wp:anchor>
        </w:drawing>
      </w:r>
      <w:r w:rsidR="00CA187F">
        <w:t>Also,</w:t>
      </w:r>
      <w:r w:rsidR="006002CD">
        <w:t xml:space="preserve"> a green</w:t>
      </w:r>
      <w:r w:rsidR="005A5A32">
        <w:t xml:space="preserve"> roof</w:t>
      </w:r>
      <w:r w:rsidR="00AD6442">
        <w:t xml:space="preserve"> rehabilitation</w:t>
      </w:r>
      <w:r w:rsidR="005A5A32">
        <w:t xml:space="preserve"> project in Salt Lake City, Utah, allowed </w:t>
      </w:r>
      <w:r w:rsidR="001B4DDE">
        <w:t>us</w:t>
      </w:r>
      <w:r w:rsidR="005A5A32">
        <w:t xml:space="preserve"> to test closed-cell LCC </w:t>
      </w:r>
      <w:r w:rsidR="00855855">
        <w:t>created using</w:t>
      </w:r>
      <w:r w:rsidR="005A5A32">
        <w:t xml:space="preserve"> AQUAERIX™ foaming agent </w:t>
      </w:r>
      <w:r w:rsidR="00855855">
        <w:t>in a</w:t>
      </w:r>
      <w:r w:rsidR="005A5A32">
        <w:t xml:space="preserve"> double-ring infiltrometer</w:t>
      </w:r>
      <w:r w:rsidR="00855855">
        <w:t xml:space="preserve"> and tank setup shown in Fig. 5. This testing</w:t>
      </w:r>
      <w:r w:rsidR="00855855" w:rsidRPr="00197C9E">
        <w:t xml:space="preserve"> provide</w:t>
      </w:r>
      <w:r w:rsidR="00855855">
        <w:t>d</w:t>
      </w:r>
      <w:r w:rsidR="00855855" w:rsidRPr="00197C9E">
        <w:t xml:space="preserve"> a</w:t>
      </w:r>
      <w:r w:rsidR="00855855">
        <w:t xml:space="preserve"> permeability </w:t>
      </w:r>
      <w:r w:rsidR="00855855" w:rsidRPr="00197C9E">
        <w:t xml:space="preserve">assessment </w:t>
      </w:r>
      <w:r w:rsidR="00855855">
        <w:t xml:space="preserve">at a </w:t>
      </w:r>
      <w:r w:rsidR="00855855" w:rsidRPr="00197C9E">
        <w:t>scale</w:t>
      </w:r>
      <w:r w:rsidR="00855855">
        <w:t xml:space="preserve"> similar to full-scale installations and the LCC was obtained directly from the LCC batched at the construction site into the 1.22-m aluminum holding tank (Fig 5.). Before the LCC placement, the bottom of the holding tank was filled with 0.3 m of coarse sand, and a nonwoven geotextile was placed atop the sand as a separation layer. The testing protocol followed</w:t>
      </w:r>
      <w:r w:rsidR="00855855" w:rsidRPr="00197C9E">
        <w:t xml:space="preserve"> ASTM D3385–18 </w:t>
      </w:r>
      <w:r w:rsidR="00855855">
        <w:t xml:space="preserve">using water continuously supplied to the </w:t>
      </w:r>
      <w:r w:rsidR="00855855" w:rsidRPr="00197C9E">
        <w:t xml:space="preserve">inner ring </w:t>
      </w:r>
      <w:r w:rsidR="00855855">
        <w:t xml:space="preserve">via a constant-head </w:t>
      </w:r>
      <w:proofErr w:type="spellStart"/>
      <w:r w:rsidR="00855855">
        <w:t>mariotte</w:t>
      </w:r>
      <w:proofErr w:type="spellEnd"/>
      <w:r w:rsidR="00855855">
        <w:t xml:space="preserve"> tube. Before the field poring of the LCC, a 0.3-m layer of coarse sand was placed, followed by a nonwoven geotextile fabric to allow water drainage from the bottom of the tank via a port in its sidewall. Prior permeability testing has shown that the nonwoven geotextile has a minor effect on the infiltration rate of the system</w:t>
      </w:r>
      <w:r w:rsidR="00CA187F">
        <w:t xml:space="preserve"> </w:t>
      </w:r>
      <w:r w:rsidR="00855855">
        <w:t>(Bartlett et al., 2024).</w:t>
      </w:r>
      <w:r w:rsidR="005A5A32">
        <w:t xml:space="preserve"> The hydraulic conductivity from </w:t>
      </w:r>
      <w:r w:rsidR="00AD6442">
        <w:t xml:space="preserve">two infiltrometer tests was </w:t>
      </w:r>
      <w:r w:rsidR="005A5A32">
        <w:t>1</w:t>
      </w:r>
      <w:r w:rsidR="007C40E4">
        <w:t>.1x10</w:t>
      </w:r>
      <w:r w:rsidR="007C40E4" w:rsidRPr="00AA325B">
        <w:rPr>
          <w:vertAlign w:val="superscript"/>
        </w:rPr>
        <w:t>-6</w:t>
      </w:r>
      <w:r w:rsidR="007C40E4">
        <w:t xml:space="preserve"> </w:t>
      </w:r>
      <w:r w:rsidR="00AD6442">
        <w:t>and</w:t>
      </w:r>
      <w:r w:rsidR="007C40E4">
        <w:t xml:space="preserve"> 2.4x10</w:t>
      </w:r>
      <w:r w:rsidR="007C40E4" w:rsidRPr="00AA325B">
        <w:rPr>
          <w:vertAlign w:val="superscript"/>
        </w:rPr>
        <w:t>-6</w:t>
      </w:r>
      <w:r w:rsidR="007C40E4">
        <w:t xml:space="preserve"> m/s</w:t>
      </w:r>
      <w:r w:rsidR="005A5A32">
        <w:t>, falling within the range of materials with low hydraulic conductivity (Table 1)</w:t>
      </w:r>
      <w:r w:rsidR="006002CD">
        <w:t>.</w:t>
      </w:r>
    </w:p>
    <w:p w14:paraId="641615C9" w14:textId="77777777" w:rsidR="00CE26CD" w:rsidRPr="00CE26CD" w:rsidRDefault="006002CD" w:rsidP="006002CD">
      <w:r>
        <w:t>Based on the</w:t>
      </w:r>
      <w:r w:rsidR="00855855">
        <w:t xml:space="preserve"> testing </w:t>
      </w:r>
      <w:r>
        <w:t>results</w:t>
      </w:r>
      <w:r w:rsidR="00855855">
        <w:t xml:space="preserve">, </w:t>
      </w:r>
      <w:r>
        <w:t xml:space="preserve">we </w:t>
      </w:r>
      <w:r w:rsidR="00855855">
        <w:t>conclude</w:t>
      </w:r>
      <w:r>
        <w:t xml:space="preserve"> that </w:t>
      </w:r>
      <w:r w:rsidR="007C40E4">
        <w:t>closed-cell</w:t>
      </w:r>
      <w:r w:rsidR="00E57E59">
        <w:t xml:space="preserve"> LCC is not </w:t>
      </w:r>
      <w:r>
        <w:t>advantageous</w:t>
      </w:r>
      <w:r w:rsidR="00E57E59">
        <w:t xml:space="preserve"> for </w:t>
      </w:r>
      <w:r>
        <w:t>applications where</w:t>
      </w:r>
      <w:r w:rsidR="003A64FB">
        <w:t xml:space="preserve"> flow</w:t>
      </w:r>
      <w:r>
        <w:t>, drainage,</w:t>
      </w:r>
      <w:r w:rsidR="003A64FB">
        <w:t xml:space="preserve"> and</w:t>
      </w:r>
      <w:r w:rsidR="00E57E59">
        <w:t xml:space="preserve"> </w:t>
      </w:r>
      <w:r>
        <w:t xml:space="preserve">water </w:t>
      </w:r>
      <w:r w:rsidR="00E57E59">
        <w:t>storage</w:t>
      </w:r>
      <w:r>
        <w:t xml:space="preserve"> are needed.</w:t>
      </w:r>
      <w:r w:rsidR="00AD6442">
        <w:t xml:space="preserve"> </w:t>
      </w:r>
      <w:r w:rsidR="00046FC0">
        <w:t xml:space="preserve">Some literature </w:t>
      </w:r>
      <w:r w:rsidR="00855855">
        <w:t>suggest</w:t>
      </w:r>
      <w:r w:rsidR="00046FC0">
        <w:t>s</w:t>
      </w:r>
      <w:r w:rsidR="00AD6442">
        <w:t xml:space="preserve"> that </w:t>
      </w:r>
      <w:r w:rsidR="00046FC0">
        <w:t xml:space="preserve">the </w:t>
      </w:r>
      <w:r w:rsidR="00AD6442">
        <w:t xml:space="preserve">LCC </w:t>
      </w:r>
      <w:r w:rsidR="00046FC0">
        <w:t xml:space="preserve">void ratio can be as low as </w:t>
      </w:r>
      <w:r w:rsidR="00AD6442">
        <w:t>10 percent air voids</w:t>
      </w:r>
      <w:r w:rsidR="00046FC0">
        <w:t xml:space="preserve"> (Panesar, 2013), resulting in </w:t>
      </w:r>
      <w:r w:rsidR="00AD6442">
        <w:t xml:space="preserve">low </w:t>
      </w:r>
      <w:r w:rsidR="00855855">
        <w:t>hydraulic conductivity</w:t>
      </w:r>
      <w:r w:rsidR="00AD6442">
        <w:t xml:space="preserve"> and water absorption levels ranging from 3</w:t>
      </w:r>
      <w:r w:rsidR="00046FC0">
        <w:t>%</w:t>
      </w:r>
      <w:r w:rsidR="00AD6442">
        <w:t xml:space="preserve"> to 7% (Amran et al., 2022)</w:t>
      </w:r>
      <w:r w:rsidR="00CE26CD">
        <w:t>. We found that hydraulic conductivity significantly decreased from an average of 1.4x10</w:t>
      </w:r>
      <w:r w:rsidR="00CE26CD" w:rsidRPr="00CE26CD">
        <w:rPr>
          <w:vertAlign w:val="superscript"/>
        </w:rPr>
        <w:t>-</w:t>
      </w:r>
      <w:proofErr w:type="gramStart"/>
      <w:r w:rsidR="00CE26CD" w:rsidRPr="00CE26CD">
        <w:rPr>
          <w:vertAlign w:val="superscript"/>
        </w:rPr>
        <w:t>4</w:t>
      </w:r>
      <w:r w:rsidR="00CE26CD">
        <w:t xml:space="preserve">  to</w:t>
      </w:r>
      <w:proofErr w:type="gramEnd"/>
      <w:r w:rsidR="00CE26CD">
        <w:t xml:space="preserve"> 2.2x10</w:t>
      </w:r>
      <w:r w:rsidR="00CE26CD" w:rsidRPr="00CE26CD">
        <w:rPr>
          <w:vertAlign w:val="superscript"/>
        </w:rPr>
        <w:t>-5</w:t>
      </w:r>
      <w:r w:rsidR="00CE26CD">
        <w:t xml:space="preserve"> m/s as the average dry density increased from 353 to 457 kg/m</w:t>
      </w:r>
      <w:r w:rsidR="00CE26CD">
        <w:rPr>
          <w:vertAlign w:val="superscript"/>
        </w:rPr>
        <w:t>3</w:t>
      </w:r>
      <w:r w:rsidR="00CE26CD">
        <w:t>.</w:t>
      </w:r>
    </w:p>
    <w:p w14:paraId="3E4EA759" w14:textId="77777777" w:rsidR="006002CD" w:rsidRDefault="00046FC0" w:rsidP="006002CD">
      <w:r>
        <w:t>In addition, o</w:t>
      </w:r>
      <w:r w:rsidR="00B23911">
        <w:t>ur</w:t>
      </w:r>
      <w:r w:rsidR="00CA187F">
        <w:t xml:space="preserve"> laboratory </w:t>
      </w:r>
      <w:r w:rsidR="00B23911">
        <w:t>test</w:t>
      </w:r>
      <w:r>
        <w:t>s</w:t>
      </w:r>
      <w:r w:rsidR="00B23911">
        <w:t xml:space="preserve"> </w:t>
      </w:r>
      <w:r w:rsidR="00CE26CD">
        <w:t>on</w:t>
      </w:r>
      <w:r w:rsidR="00B23911">
        <w:t xml:space="preserve"> LCC</w:t>
      </w:r>
      <w:r w:rsidR="00CE26CD">
        <w:t xml:space="preserve"> specimens that</w:t>
      </w:r>
      <w:r w:rsidR="00B23911">
        <w:t xml:space="preserve"> var</w:t>
      </w:r>
      <w:r w:rsidR="00CE26CD">
        <w:t>y</w:t>
      </w:r>
      <w:r w:rsidR="00B23911">
        <w:t xml:space="preserve"> from </w:t>
      </w:r>
      <w:r w:rsidR="00CA187F">
        <w:t>708</w:t>
      </w:r>
      <w:r w:rsidR="00B23911">
        <w:t xml:space="preserve"> to 82</w:t>
      </w:r>
      <w:r w:rsidR="001348FA">
        <w:t>7</w:t>
      </w:r>
      <w:r w:rsidR="00B23911">
        <w:t xml:space="preserve"> kg/m³ result</w:t>
      </w:r>
      <w:r w:rsidR="00CE26CD">
        <w:t>ed</w:t>
      </w:r>
      <w:r w:rsidR="00B23911">
        <w:t xml:space="preserve"> in a</w:t>
      </w:r>
      <w:r w:rsidR="00CE26CD">
        <w:t xml:space="preserve">n average </w:t>
      </w:r>
      <w:r w:rsidR="00B23911">
        <w:t xml:space="preserve">buoyant </w:t>
      </w:r>
      <w:r w:rsidR="001348FA">
        <w:t xml:space="preserve">uplift </w:t>
      </w:r>
      <w:r w:rsidR="00B23911">
        <w:t xml:space="preserve">force of </w:t>
      </w:r>
      <w:r w:rsidR="001348FA">
        <w:t>2.9</w:t>
      </w:r>
      <w:r w:rsidR="00B23911">
        <w:t xml:space="preserve"> to </w:t>
      </w:r>
      <w:r w:rsidR="001348FA">
        <w:t>1.7</w:t>
      </w:r>
      <w:r w:rsidR="00B23911">
        <w:t xml:space="preserve"> </w:t>
      </w:r>
      <w:proofErr w:type="spellStart"/>
      <w:r w:rsidR="00B23911">
        <w:t>kN</w:t>
      </w:r>
      <w:proofErr w:type="spellEnd"/>
      <w:r w:rsidR="00B23911">
        <w:t>/m³</w:t>
      </w:r>
      <w:r w:rsidR="00145691">
        <w:t xml:space="preserve">, respectively. </w:t>
      </w:r>
      <w:r w:rsidR="00CE26CD">
        <w:t xml:space="preserve">This result suggests that </w:t>
      </w:r>
      <w:r w:rsidR="00B23911">
        <w:t xml:space="preserve">closed-cell LCC </w:t>
      </w:r>
      <w:r w:rsidR="00B23911">
        <w:lastRenderedPageBreak/>
        <w:t xml:space="preserve">may have a </w:t>
      </w:r>
      <w:r w:rsidR="001348FA">
        <w:t>moderate</w:t>
      </w:r>
      <w:r w:rsidR="00B23911">
        <w:t xml:space="preserve"> buoyancy force when placed below groundwater or where temporary flooding or submersion is possible. This</w:t>
      </w:r>
      <w:r w:rsidR="00CE26CD">
        <w:t xml:space="preserve"> uplift</w:t>
      </w:r>
      <w:r w:rsidR="00B23911">
        <w:t xml:space="preserve"> force may be sufficient to cause</w:t>
      </w:r>
      <w:r w:rsidR="001348FA">
        <w:t xml:space="preserve"> damage</w:t>
      </w:r>
      <w:r w:rsidR="00CE26CD">
        <w:t xml:space="preserve"> or cracking</w:t>
      </w:r>
      <w:r w:rsidR="00B23911">
        <w:t xml:space="preserve"> if the LCC is not sufficiently covered, buried, or anchored.</w:t>
      </w:r>
      <w:r w:rsidR="006002CD">
        <w:t xml:space="preserve"> However, due to its </w:t>
      </w:r>
      <w:r>
        <w:t xml:space="preserve">relatively </w:t>
      </w:r>
      <w:r w:rsidR="006002CD">
        <w:t xml:space="preserve">low permeability and </w:t>
      </w:r>
      <w:r w:rsidR="00B23911">
        <w:t xml:space="preserve">low </w:t>
      </w:r>
      <w:r w:rsidR="006002CD">
        <w:t xml:space="preserve">water storage capacity, LCC </w:t>
      </w:r>
      <w:r w:rsidR="00AD6442">
        <w:t>might</w:t>
      </w:r>
      <w:r w:rsidR="006002CD">
        <w:t xml:space="preserve"> be </w:t>
      </w:r>
      <w:r w:rsidR="00AD6442">
        <w:t>desirable</w:t>
      </w:r>
      <w:r>
        <w:t xml:space="preserve"> for cases where</w:t>
      </w:r>
      <w:r w:rsidR="00CE26CD">
        <w:t xml:space="preserve"> limited</w:t>
      </w:r>
      <w:r>
        <w:t xml:space="preserve"> water flow is </w:t>
      </w:r>
      <w:r w:rsidR="00CE26CD">
        <w:t>desired in or through the</w:t>
      </w:r>
      <w:r>
        <w:t xml:space="preserve"> geosystem (e.g., dikes, roadways, pavements, embankments, docks, revetments, etc.)</w:t>
      </w:r>
      <w:r w:rsidR="00CE26CD">
        <w:t xml:space="preserve"> </w:t>
      </w:r>
      <w:r>
        <w:t>if ade</w:t>
      </w:r>
      <w:r w:rsidR="001348FA">
        <w:t xml:space="preserve">quate </w:t>
      </w:r>
      <w:r w:rsidR="00CE26CD">
        <w:t xml:space="preserve">countermeasures </w:t>
      </w:r>
      <w:r w:rsidR="001348FA">
        <w:t>against buoyancy</w:t>
      </w:r>
      <w:r>
        <w:t xml:space="preserve"> uplift</w:t>
      </w:r>
      <w:r w:rsidR="00CE26CD">
        <w:t xml:space="preserve"> are taken</w:t>
      </w:r>
      <w:r w:rsidR="001348FA">
        <w:t>.</w:t>
      </w:r>
    </w:p>
    <w:p w14:paraId="6A76C750" w14:textId="77777777" w:rsidR="00976AD5" w:rsidRDefault="00976AD5" w:rsidP="00976AD5">
      <w:pPr>
        <w:pStyle w:val="Heading1"/>
      </w:pPr>
      <w:r>
        <w:t>Hydraulic Properties of PLCC</w:t>
      </w:r>
    </w:p>
    <w:p w14:paraId="69C93AED" w14:textId="77777777" w:rsidR="00145691" w:rsidRDefault="00B23911" w:rsidP="00CA6CF1">
      <w:r>
        <w:rPr>
          <w:rFonts w:ascii="FranklinGothic-Book" w:hAnsi="FranklinGothic-Book" w:cs="FranklinGothic-Book"/>
          <w:noProof/>
          <w:sz w:val="24"/>
          <w:szCs w:val="24"/>
        </w:rPr>
        <w:drawing>
          <wp:anchor distT="0" distB="0" distL="114300" distR="114300" simplePos="0" relativeHeight="251667456" behindDoc="1" locked="0" layoutInCell="1" allowOverlap="1" wp14:anchorId="55BB1324" wp14:editId="04DA3C66">
            <wp:simplePos x="0" y="0"/>
            <wp:positionH relativeFrom="column">
              <wp:posOffset>1824990</wp:posOffset>
            </wp:positionH>
            <wp:positionV relativeFrom="paragraph">
              <wp:posOffset>121920</wp:posOffset>
            </wp:positionV>
            <wp:extent cx="4285615" cy="2105660"/>
            <wp:effectExtent l="0" t="0" r="635" b="8890"/>
            <wp:wrapTight wrapText="bothSides">
              <wp:wrapPolygon edited="0">
                <wp:start x="0" y="0"/>
                <wp:lineTo x="0" y="21496"/>
                <wp:lineTo x="21507" y="21496"/>
                <wp:lineTo x="215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CC Fi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5615" cy="21056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1" locked="0" layoutInCell="1" allowOverlap="1" wp14:anchorId="434BD33F" wp14:editId="4EF3E895">
                <wp:simplePos x="0" y="0"/>
                <wp:positionH relativeFrom="column">
                  <wp:posOffset>1869964</wp:posOffset>
                </wp:positionH>
                <wp:positionV relativeFrom="paragraph">
                  <wp:posOffset>2295387</wp:posOffset>
                </wp:positionV>
                <wp:extent cx="4286885" cy="342900"/>
                <wp:effectExtent l="0" t="0" r="0" b="0"/>
                <wp:wrapTight wrapText="bothSides">
                  <wp:wrapPolygon edited="0">
                    <wp:start x="0" y="0"/>
                    <wp:lineTo x="0" y="21308"/>
                    <wp:lineTo x="21501" y="21308"/>
                    <wp:lineTo x="2150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286885" cy="342900"/>
                        </a:xfrm>
                        <a:prstGeom prst="rect">
                          <a:avLst/>
                        </a:prstGeom>
                        <a:solidFill>
                          <a:prstClr val="white"/>
                        </a:solidFill>
                        <a:ln>
                          <a:noFill/>
                        </a:ln>
                      </wps:spPr>
                      <wps:txbx>
                        <w:txbxContent>
                          <w:p w14:paraId="2E7BCF38" w14:textId="77777777" w:rsidR="00AA6CD7" w:rsidRDefault="00AA6CD7" w:rsidP="00CA6CF1">
                            <w:pPr>
                              <w:pStyle w:val="Caption"/>
                              <w:rPr>
                                <w:rFonts w:ascii="FranklinGothic-Book" w:hAnsi="FranklinGothic-Book" w:cs="FranklinGothic-Book"/>
                                <w:sz w:val="24"/>
                                <w:szCs w:val="24"/>
                              </w:rPr>
                            </w:pPr>
                            <w:r>
                              <w:t>Fig. 6 Cross-sectional view of typical street for Mission Rock Project (Bartlett et al., 2000a).</w:t>
                            </w:r>
                          </w:p>
                          <w:p w14:paraId="5EC97215" w14:textId="77777777" w:rsidR="00AA6CD7" w:rsidRPr="00095071" w:rsidRDefault="00AA6CD7" w:rsidP="00CA6CF1">
                            <w:pPr>
                              <w:pStyle w:val="Caption"/>
                              <w:rPr>
                                <w:rFonts w:ascii="FranklinGothic-Book" w:hAnsi="FranklinGothic-Book" w:cs="FranklinGothic-Book"/>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BD33F" id="Text Box 1" o:spid="_x0000_s1031" type="#_x0000_t202" style="position:absolute;margin-left:147.25pt;margin-top:180.75pt;width:337.55pt;height:2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" stroked="f">
                <v:textbox inset="0,0,0,0">
                  <w:txbxContent>
                    <w:p w14:paraId="2E7BCF38" w14:textId="77777777" w:rsidR="00AA6CD7" w:rsidRDefault="00AA6CD7" w:rsidP="00CA6CF1">
                      <w:pPr>
                        <w:pStyle w:val="Caption"/>
                        <w:rPr>
                          <w:rFonts w:ascii="FranklinGothic-Book" w:hAnsi="FranklinGothic-Book" w:cs="FranklinGothic-Book"/>
                          <w:sz w:val="24"/>
                          <w:szCs w:val="24"/>
                        </w:rPr>
                      </w:pPr>
                      <w:r>
                        <w:t>Fig. 6 Cross-sectional view of typical street for Mission Rock Project (Bartlett et al., 2000a).</w:t>
                      </w:r>
                    </w:p>
                    <w:p w14:paraId="5EC97215" w14:textId="77777777" w:rsidR="00AA6CD7" w:rsidRPr="00095071" w:rsidRDefault="00AA6CD7" w:rsidP="00CA6CF1">
                      <w:pPr>
                        <w:pStyle w:val="Caption"/>
                        <w:rPr>
                          <w:rFonts w:ascii="FranklinGothic-Book" w:hAnsi="FranklinGothic-Book" w:cs="FranklinGothic-Book"/>
                          <w:noProof/>
                          <w:sz w:val="24"/>
                          <w:szCs w:val="24"/>
                        </w:rPr>
                      </w:pPr>
                    </w:p>
                  </w:txbxContent>
                </v:textbox>
                <w10:wrap type="tight"/>
              </v:shape>
            </w:pict>
          </mc:Fallback>
        </mc:AlternateContent>
      </w:r>
      <w:r w:rsidR="006002CD">
        <w:t>In contrast to LCC,</w:t>
      </w:r>
      <w:r w:rsidR="00CA6CF1">
        <w:t xml:space="preserve"> the foaming agent used </w:t>
      </w:r>
      <w:r w:rsidR="00AD6442">
        <w:t>to produce</w:t>
      </w:r>
      <w:r w:rsidR="00CA6CF1">
        <w:t xml:space="preserve"> </w:t>
      </w:r>
      <w:r w:rsidR="006002CD">
        <w:t xml:space="preserve">PLCC </w:t>
      </w:r>
      <w:r w:rsidR="00855855">
        <w:t>(Masloff et al., 2022)</w:t>
      </w:r>
      <w:r w:rsidR="00046FC0">
        <w:t xml:space="preserve"> </w:t>
      </w:r>
      <w:r w:rsidR="00CE26CD">
        <w:t>creat</w:t>
      </w:r>
      <w:r w:rsidR="00046FC0">
        <w:t xml:space="preserve">es </w:t>
      </w:r>
      <w:r w:rsidR="00AD6442">
        <w:t>a</w:t>
      </w:r>
      <w:r w:rsidR="00CA6CF1">
        <w:t xml:space="preserve"> </w:t>
      </w:r>
      <w:r w:rsidR="006002CD">
        <w:t>significantly higher hydraulic conductivity and water storage capacity</w:t>
      </w:r>
      <w:r w:rsidR="001348FA">
        <w:t xml:space="preserve"> (Bartlett et al., 2024)</w:t>
      </w:r>
      <w:r w:rsidR="006002CD">
        <w:t xml:space="preserve">. </w:t>
      </w:r>
      <w:r w:rsidR="006002CD" w:rsidRPr="00CA6CF1">
        <w:t>Notable case studies of PLCC</w:t>
      </w:r>
      <w:r w:rsidR="00855855">
        <w:t xml:space="preserve"> </w:t>
      </w:r>
      <w:r w:rsidR="00EE4E4E">
        <w:t xml:space="preserve">                                                                    </w:t>
      </w:r>
      <w:r w:rsidR="001348FA">
        <w:t>construction</w:t>
      </w:r>
      <w:r w:rsidR="00855855">
        <w:t xml:space="preserve"> </w:t>
      </w:r>
      <w:r w:rsidR="006002CD" w:rsidRPr="00CA6CF1">
        <w:t xml:space="preserve">include the Mission Rock Project (MRP) in the Port of San Francisco (Bartlett et al., 2020a) and a soft soil remediation project at the Louis Armstrong International Airport </w:t>
      </w:r>
      <w:r w:rsidR="001C74FD">
        <w:t xml:space="preserve">(LAIA) </w:t>
      </w:r>
      <w:r w:rsidR="006002CD" w:rsidRPr="00CA6CF1">
        <w:t>in New Orleans, Louisiana (Sutmoller and Gomez, 2022).</w:t>
      </w:r>
      <w:r w:rsidR="001C74FD">
        <w:t xml:space="preserve"> </w:t>
      </w:r>
      <w:r w:rsidR="00145691">
        <w:t>For the latter project, a concrete vault was to be built on a saturated, weak, compressible black clay. The lightweight fill material around the vault's pavement was needed to facilitate significant stormwater drainage and stabilize the soft soil. A silt fabric was placed to mitigate silt infiltration before PLCC, with a 450 kg/m3 density, was installed to a depth of 1.2 m for a total PLCC volume of 2300 m</w:t>
      </w:r>
      <w:r w:rsidR="00145691" w:rsidRPr="00145691">
        <w:rPr>
          <w:vertAlign w:val="superscript"/>
        </w:rPr>
        <w:t>3</w:t>
      </w:r>
    </w:p>
    <w:p w14:paraId="67E68165" w14:textId="0C0A6EC0" w:rsidR="00145691" w:rsidRDefault="006002CD" w:rsidP="00CA6CF1">
      <w:r w:rsidRPr="00CA6CF1">
        <w:t>The</w:t>
      </w:r>
      <w:r w:rsidR="00046FC0">
        <w:t xml:space="preserve"> extensive</w:t>
      </w:r>
      <w:r w:rsidR="00145691">
        <w:t xml:space="preserve"> </w:t>
      </w:r>
      <w:r w:rsidRPr="00CA6CF1">
        <w:t>MRP</w:t>
      </w:r>
      <w:r w:rsidR="00145691">
        <w:t xml:space="preserve"> project</w:t>
      </w:r>
      <w:r w:rsidRPr="00CA6CF1">
        <w:t xml:space="preserve"> site</w:t>
      </w:r>
      <w:r w:rsidR="00145691">
        <w:t xml:space="preserve"> </w:t>
      </w:r>
      <w:r w:rsidRPr="00CA6CF1">
        <w:t xml:space="preserve">(6.5 hectares) </w:t>
      </w:r>
      <w:r w:rsidR="00046FC0">
        <w:t xml:space="preserve">comprises </w:t>
      </w:r>
      <w:r w:rsidRPr="00CA6CF1">
        <w:t xml:space="preserve">mixed commercial and residential development constructed </w:t>
      </w:r>
      <w:r w:rsidR="00046FC0">
        <w:t>atop</w:t>
      </w:r>
      <w:r w:rsidRPr="00CA6CF1">
        <w:t xml:space="preserve"> potentially liquefiable uncompacted fill material</w:t>
      </w:r>
      <w:r w:rsidR="00046FC0">
        <w:t>,</w:t>
      </w:r>
      <w:r w:rsidRPr="00CA6CF1">
        <w:t xml:space="preserve"> </w:t>
      </w:r>
      <w:r w:rsidR="00046FC0">
        <w:t>which overlies the</w:t>
      </w:r>
      <w:r w:rsidRPr="00CA6CF1">
        <w:t xml:space="preserve"> </w:t>
      </w:r>
      <w:r w:rsidR="00145691">
        <w:t>Young and Old Bay Muds</w:t>
      </w:r>
      <w:r w:rsidR="00046FC0">
        <w:t xml:space="preserve"> of San Francisco Bay.</w:t>
      </w:r>
      <w:r w:rsidRPr="00CA6CF1">
        <w:t xml:space="preserve"> To protect the site against a projected sea level rise of up to 1.67 m</w:t>
      </w:r>
      <w:r w:rsidR="00CA6CF1" w:rsidRPr="00CA6CF1">
        <w:t xml:space="preserve"> by 2100</w:t>
      </w:r>
      <w:r w:rsidRPr="00CA6CF1">
        <w:t>, the development team proposed</w:t>
      </w:r>
      <w:r w:rsidR="00046FC0">
        <w:t xml:space="preserve"> increasing</w:t>
      </w:r>
      <w:r w:rsidR="00046FC0" w:rsidRPr="00CA6CF1">
        <w:t xml:space="preserve"> the ground elevation</w:t>
      </w:r>
      <w:r w:rsidR="00046FC0">
        <w:t xml:space="preserve"> by 1.5 to 1.8 m across most</w:t>
      </w:r>
      <w:r w:rsidR="00046FC0" w:rsidRPr="00CA6CF1">
        <w:t xml:space="preserve"> of the site</w:t>
      </w:r>
      <w:r w:rsidR="00046FC0">
        <w:t xml:space="preserve"> (Bartlett et al., 2020a). The foundations for the planned buildings are pile-supported. The </w:t>
      </w:r>
      <w:r w:rsidR="00046FC0" w:rsidRPr="00CA6CF1">
        <w:t xml:space="preserve">potential </w:t>
      </w:r>
      <w:r w:rsidR="00046FC0">
        <w:t xml:space="preserve">for </w:t>
      </w:r>
      <w:r w:rsidR="00046FC0" w:rsidRPr="00CA6CF1">
        <w:t>liquefaction</w:t>
      </w:r>
      <w:r w:rsidR="00046FC0">
        <w:t xml:space="preserve"> of the</w:t>
      </w:r>
      <w:r w:rsidR="00046FC0" w:rsidRPr="00CA6CF1">
        <w:t xml:space="preserve"> uncompacted fill was mitigated by </w:t>
      </w:r>
      <w:r w:rsidR="00046FC0">
        <w:t xml:space="preserve">installing stone columns (Fig. 6). </w:t>
      </w:r>
      <w:r w:rsidRPr="00CA6CF1">
        <w:t>However</w:t>
      </w:r>
      <w:r w:rsidR="002B6BE1">
        <w:t>,</w:t>
      </w:r>
      <w:r w:rsidRPr="00CA6CF1">
        <w:t xml:space="preserve"> if earthen fill were used</w:t>
      </w:r>
      <w:r w:rsidR="00046FC0">
        <w:t xml:space="preserve"> to raise the ground</w:t>
      </w:r>
      <w:r w:rsidRPr="00CA6CF1">
        <w:t xml:space="preserve">, the additional weight placed in non-building areas would cause </w:t>
      </w:r>
      <w:r w:rsidR="00046FC0">
        <w:t>significant</w:t>
      </w:r>
      <w:r w:rsidRPr="00CA6CF1">
        <w:t xml:space="preserve"> primary consolidation settlement</w:t>
      </w:r>
      <w:r w:rsidR="00046FC0">
        <w:t xml:space="preserve"> (about 0.56 m)</w:t>
      </w:r>
      <w:r w:rsidRPr="00CA6CF1">
        <w:t xml:space="preserve"> of the Young Bay Mud</w:t>
      </w:r>
      <w:r w:rsidR="00046FC0">
        <w:t>. This consolidation and subsequent creep settlement would cause</w:t>
      </w:r>
      <w:r w:rsidRPr="00CA6CF1">
        <w:t xml:space="preserve"> </w:t>
      </w:r>
      <w:r w:rsidR="00046FC0">
        <w:t xml:space="preserve">considerable </w:t>
      </w:r>
      <w:r w:rsidRPr="00CA6CF1">
        <w:t xml:space="preserve">damage to </w:t>
      </w:r>
      <w:r w:rsidR="00CA6CF1">
        <w:t xml:space="preserve">planned </w:t>
      </w:r>
      <w:r w:rsidRPr="00CA6CF1">
        <w:t xml:space="preserve">roadways, sidewalks, landscaped areas, and buried utilities. Therefore, </w:t>
      </w:r>
      <w:r w:rsidR="00046FC0">
        <w:t xml:space="preserve">it was decided that </w:t>
      </w:r>
      <w:r w:rsidRPr="00CA6CF1">
        <w:t>a "zero net load"</w:t>
      </w:r>
      <w:r w:rsidR="00046FC0">
        <w:t xml:space="preserve"> could be </w:t>
      </w:r>
      <w:r w:rsidR="00CA6CF1">
        <w:t>created b</w:t>
      </w:r>
      <w:r w:rsidRPr="00CA6CF1">
        <w:t xml:space="preserve">y </w:t>
      </w:r>
      <w:r w:rsidR="00CA6CF1" w:rsidRPr="00CA6CF1">
        <w:t>sub-excavating</w:t>
      </w:r>
      <w:r w:rsidRPr="00CA6CF1">
        <w:t xml:space="preserve"> the existing</w:t>
      </w:r>
      <w:r w:rsidR="00046FC0">
        <w:t xml:space="preserve"> ground and paved areas </w:t>
      </w:r>
      <w:r w:rsidRPr="00CA6CF1">
        <w:t xml:space="preserve">to a depth equivalent to the </w:t>
      </w:r>
      <w:r w:rsidR="00CA6CF1">
        <w:t xml:space="preserve">expected </w:t>
      </w:r>
      <w:r w:rsidRPr="00CA6CF1">
        <w:t xml:space="preserve">weight of the LCC </w:t>
      </w:r>
      <w:r w:rsidR="00CA6CF1">
        <w:t xml:space="preserve">fill, </w:t>
      </w:r>
      <w:r w:rsidR="00046FC0">
        <w:t xml:space="preserve">roadway </w:t>
      </w:r>
      <w:r w:rsidRPr="00CA6CF1">
        <w:t>base</w:t>
      </w:r>
      <w:r w:rsidR="00046FC0">
        <w:t xml:space="preserve"> (where applicable)</w:t>
      </w:r>
      <w:r w:rsidR="00CA6CF1">
        <w:t xml:space="preserve"> </w:t>
      </w:r>
      <w:r w:rsidR="00046FC0">
        <w:t>overlying</w:t>
      </w:r>
      <w:r w:rsidR="00CA6CF1">
        <w:t xml:space="preserve"> </w:t>
      </w:r>
      <w:r w:rsidR="00046FC0">
        <w:t xml:space="preserve">flexible </w:t>
      </w:r>
      <w:r w:rsidRPr="00CA6CF1">
        <w:t>pavement section</w:t>
      </w:r>
      <w:r w:rsidR="00145691">
        <w:t xml:space="preserve"> (Fig. 6)</w:t>
      </w:r>
      <w:r w:rsidRPr="00CA6CF1">
        <w:t xml:space="preserve">. </w:t>
      </w:r>
    </w:p>
    <w:p w14:paraId="10FEDDBB" w14:textId="711FE05B" w:rsidR="00046FC0" w:rsidRDefault="00CA6CF1" w:rsidP="00145691">
      <w:r>
        <w:t xml:space="preserve">In addition, </w:t>
      </w:r>
      <w:r w:rsidR="00046FC0">
        <w:t xml:space="preserve">MRP </w:t>
      </w:r>
      <w:r>
        <w:t>performance requirements specified that the</w:t>
      </w:r>
      <w:r w:rsidRPr="00606FD8">
        <w:t xml:space="preserve"> </w:t>
      </w:r>
      <w:r w:rsidR="00A55266">
        <w:t>P</w:t>
      </w:r>
      <w:r w:rsidRPr="00606FD8">
        <w:t xml:space="preserve">LCC </w:t>
      </w:r>
      <w:r>
        <w:t xml:space="preserve">should be sufficiently permeable to prevent the buildup of excessive hydrostatic uplift pressure during fluctuations in the groundwater table </w:t>
      </w:r>
      <w:r>
        <w:lastRenderedPageBreak/>
        <w:t xml:space="preserve">and </w:t>
      </w:r>
      <w:r w:rsidRPr="00606FD8">
        <w:t>tides in the San Francisco Bay</w:t>
      </w:r>
      <w:r>
        <w:t xml:space="preserve">. Based on </w:t>
      </w:r>
      <w:r w:rsidR="00046FC0">
        <w:t xml:space="preserve">subsurface </w:t>
      </w:r>
      <w:r>
        <w:t xml:space="preserve">flow calculations, the </w:t>
      </w:r>
      <w:r w:rsidR="00145691">
        <w:t xml:space="preserve">advisory panel </w:t>
      </w:r>
      <w:r w:rsidR="00046FC0">
        <w:t>specified</w:t>
      </w:r>
      <w:r>
        <w:t xml:space="preserve"> a minimum hydraulic conductivity of 5x10</w:t>
      </w:r>
      <w:r w:rsidRPr="00606FD8">
        <w:rPr>
          <w:vertAlign w:val="superscript"/>
        </w:rPr>
        <w:t>-5</w:t>
      </w:r>
      <w:r>
        <w:t xml:space="preserve"> m/s</w:t>
      </w:r>
      <w:r w:rsidR="001C74FD">
        <w:t xml:space="preserve"> (i.e., medium</w:t>
      </w:r>
      <w:r w:rsidR="00145691">
        <w:t xml:space="preserve"> permeability</w:t>
      </w:r>
      <w:r w:rsidR="00876ADD">
        <w:t xml:space="preserve"> </w:t>
      </w:r>
      <w:r w:rsidR="00145691">
        <w:t>-</w:t>
      </w:r>
      <w:r w:rsidR="00976AD5">
        <w:t xml:space="preserve"> </w:t>
      </w:r>
      <w:r w:rsidR="001C74FD">
        <w:t>Table 1)</w:t>
      </w:r>
      <w:r w:rsidR="00046FC0">
        <w:t xml:space="preserve"> for the LCC or PLCC layer</w:t>
      </w:r>
      <w:r w:rsidR="001C74FD">
        <w:t xml:space="preserve"> </w:t>
      </w:r>
      <w:r>
        <w:t xml:space="preserve">to prevent excessive hydrostatic uplift pressure </w:t>
      </w:r>
      <w:r w:rsidR="00976AD5">
        <w:t xml:space="preserve">during </w:t>
      </w:r>
      <w:r>
        <w:t>tidal fluctuations.</w:t>
      </w:r>
      <w:r w:rsidR="00145691">
        <w:t xml:space="preserve"> </w:t>
      </w:r>
      <w:r w:rsidR="00046FC0">
        <w:t xml:space="preserve">Red Rock Consultants performed constant head permeability testing (ASTM D2434) for the MRP on </w:t>
      </w:r>
      <w:r w:rsidR="002B6BE1">
        <w:t>ten</w:t>
      </w:r>
      <w:r w:rsidR="00046FC0">
        <w:t xml:space="preserve"> </w:t>
      </w:r>
      <w:r w:rsidR="002B6BE1">
        <w:t xml:space="preserve">76.2 x 152.4 mm </w:t>
      </w:r>
      <w:r w:rsidR="00046FC0">
        <w:t>specimens obtained while constructing a PLCC test pad to verify in-place permeability</w:t>
      </w:r>
      <w:r w:rsidR="00145691">
        <w:t>. The average batche</w:t>
      </w:r>
      <w:r w:rsidR="00046FC0">
        <w:t>d</w:t>
      </w:r>
      <w:r w:rsidR="00145691">
        <w:t xml:space="preserve"> and </w:t>
      </w:r>
      <w:r w:rsidR="00CA187F">
        <w:t>total</w:t>
      </w:r>
      <w:r w:rsidR="00145691">
        <w:t xml:space="preserve"> density were 437 and 867 kg/m³, respectively. The average hydraulic conductivity was 5.34x10</w:t>
      </w:r>
      <w:r w:rsidR="00145691" w:rsidRPr="005A5A32">
        <w:rPr>
          <w:vertAlign w:val="superscript"/>
        </w:rPr>
        <w:t>-</w:t>
      </w:r>
      <w:r w:rsidR="00145691">
        <w:rPr>
          <w:vertAlign w:val="superscript"/>
        </w:rPr>
        <w:t>4</w:t>
      </w:r>
      <w:r w:rsidR="00145691" w:rsidRPr="006002CD">
        <w:t xml:space="preserve"> </w:t>
      </w:r>
      <w:r w:rsidR="00145691">
        <w:t>m/s, with a standard deviation of 4.69x10</w:t>
      </w:r>
      <w:r w:rsidR="00145691" w:rsidRPr="005A5A32">
        <w:rPr>
          <w:vertAlign w:val="superscript"/>
        </w:rPr>
        <w:t>-</w:t>
      </w:r>
      <w:r w:rsidR="00145691">
        <w:rPr>
          <w:vertAlign w:val="superscript"/>
        </w:rPr>
        <w:t>4</w:t>
      </w:r>
      <w:r w:rsidR="00145691" w:rsidRPr="006002CD">
        <w:t xml:space="preserve"> </w:t>
      </w:r>
      <w:r w:rsidR="00145691">
        <w:t>m/s. Th</w:t>
      </w:r>
      <w:r w:rsidR="00046FC0">
        <w:t>is</w:t>
      </w:r>
      <w:r w:rsidR="00145691">
        <w:t xml:space="preserve"> hydraulic conductivity </w:t>
      </w:r>
      <w:r w:rsidR="00046FC0">
        <w:t>f</w:t>
      </w:r>
      <w:r w:rsidR="00145691">
        <w:t xml:space="preserve">alls within the medium permeability range (Table 1). </w:t>
      </w:r>
    </w:p>
    <w:p w14:paraId="1C8D00D7" w14:textId="77777777" w:rsidR="00CE26CD" w:rsidRDefault="00CE26CD" w:rsidP="00CE26CD">
      <w:r>
        <w:t>In addition, the MRP installed a full-scale mockup or Pilot of a typical street section using PLCC as part of the approval process (Bartlett et al., 2020a)</w:t>
      </w:r>
      <w:r w:rsidRPr="00145691">
        <w:t xml:space="preserve">. </w:t>
      </w:r>
      <w:r>
        <w:t>The LCC Pilot consisted of an 8.8-</w:t>
      </w:r>
      <w:proofErr w:type="gramStart"/>
      <w:r>
        <w:t>m  wide</w:t>
      </w:r>
      <w:proofErr w:type="gramEnd"/>
      <w:r>
        <w:t xml:space="preserve"> (approximately half the full street width) x 7.6-m long PLCC fill that incorporated typical utilities, street paving, sidewalk, curb and gutter, and planter strip. The goals of the Pilot were to demonstrate construction methods and materials related to PLCC placement and its ability to support a typical heavy vehicle load (standard SF Fire Department Fire Truck) and a typical water line leak and repair. Also, hydrostatic uplift tests were performed to demonstrate LCC performance under simulated current and future groundwater conditions during construction and in its finished condition. The hydrostatic uplift test was done by flooding the PLCC fill to raise the groundwater level to the future design level, including sea level rise. No evidence of uplift was measured in the pressure cell instrumentation and ground surface surveying. </w:t>
      </w:r>
    </w:p>
    <w:p w14:paraId="1A6F3CAE" w14:textId="223CD8BC" w:rsidR="002B6BE1" w:rsidRDefault="002B6BE1" w:rsidP="00A55266">
      <w:r>
        <w:t>Experience gained from the MRP advanced the concept of using PLCC as a base and subbase material to support the pavement and sidewalk systems while accommodating detention and infiltration. Subsequently, the University of Utah and the Land and Housing Corporation of Korea (LH-Korea) initiated research in developing a Decentralized Stormwater Management System</w:t>
      </w:r>
      <w:r w:rsidR="00763E2C">
        <w:t xml:space="preserve"> (DCMS)</w:t>
      </w:r>
      <w:r>
        <w:t xml:space="preserve"> that used PLCC as the primary storage and infiltration medium (Fig. 7) (Bartlett et al., 2024). In such a system, the PLCC would not be the wearing surface for the roadway and sidewalks; instead, these areas would be capped by rigid or flexible pavement and paver blocks, respectively. These capping layers are required to guard against overstressing and localized damage of the PLCC.</w:t>
      </w:r>
    </w:p>
    <w:p w14:paraId="5138FF7A" w14:textId="61060AA0" w:rsidR="002B6BE1" w:rsidRDefault="002B6BE1" w:rsidP="002B6BE1">
      <w:r>
        <w:rPr>
          <w:noProof/>
        </w:rPr>
        <w:drawing>
          <wp:anchor distT="0" distB="0" distL="114300" distR="114300" simplePos="0" relativeHeight="251679744" behindDoc="1" locked="0" layoutInCell="1" allowOverlap="1" wp14:anchorId="57BA0B92" wp14:editId="2EB59F61">
            <wp:simplePos x="0" y="0"/>
            <wp:positionH relativeFrom="column">
              <wp:posOffset>1543601</wp:posOffset>
            </wp:positionH>
            <wp:positionV relativeFrom="paragraph">
              <wp:posOffset>1002638</wp:posOffset>
            </wp:positionV>
            <wp:extent cx="4348480" cy="1280795"/>
            <wp:effectExtent l="0" t="0" r="0" b="0"/>
            <wp:wrapTight wrapText="bothSides">
              <wp:wrapPolygon edited="0">
                <wp:start x="0" y="0"/>
                <wp:lineTo x="0" y="21204"/>
                <wp:lineTo x="21480" y="21204"/>
                <wp:lineTo x="214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ormwa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8480" cy="1280795"/>
                    </a:xfrm>
                    <a:prstGeom prst="rect">
                      <a:avLst/>
                    </a:prstGeom>
                  </pic:spPr>
                </pic:pic>
              </a:graphicData>
            </a:graphic>
            <wp14:sizeRelH relativeFrom="page">
              <wp14:pctWidth>0</wp14:pctWidth>
            </wp14:sizeRelH>
            <wp14:sizeRelV relativeFrom="page">
              <wp14:pctHeight>0</wp14:pctHeight>
            </wp14:sizeRelV>
          </wp:anchor>
        </w:drawing>
      </w:r>
      <w:r>
        <w:t xml:space="preserve">In addition to storage and infiltration, the PLCC medium would act as a filter to adsorb and sequester toxic heavy metals and other microparticles that might be present in the surface stormwater runoff. For example, </w:t>
      </w:r>
      <w:proofErr w:type="spellStart"/>
      <w:r>
        <w:t>Martemianov</w:t>
      </w:r>
      <w:proofErr w:type="spellEnd"/>
      <w:r>
        <w:t xml:space="preserve"> et al. (2017) have shown that aerated concrete (i.e., aerocrete) has an adsorption capacity exceeding activated carbon and vermiculite-based adsorbents concerning heavy metal cations. Arsenic anions are adsorbed in amounts comparable to the ones of activated carbon-supported adsorbents.</w:t>
      </w:r>
    </w:p>
    <w:p w14:paraId="7BA71A37" w14:textId="0E7EA2F2" w:rsidR="002B6BE1" w:rsidRDefault="00CB1AA1" w:rsidP="002B6BE1">
      <w:r>
        <w:rPr>
          <w:noProof/>
        </w:rPr>
        <mc:AlternateContent>
          <mc:Choice Requires="wps">
            <w:drawing>
              <wp:anchor distT="0" distB="0" distL="114300" distR="114300" simplePos="0" relativeHeight="251681792" behindDoc="1" locked="0" layoutInCell="1" allowOverlap="1" wp14:anchorId="7E2E8E04" wp14:editId="23C1BCD4">
                <wp:simplePos x="0" y="0"/>
                <wp:positionH relativeFrom="column">
                  <wp:posOffset>1614170</wp:posOffset>
                </wp:positionH>
                <wp:positionV relativeFrom="paragraph">
                  <wp:posOffset>1300480</wp:posOffset>
                </wp:positionV>
                <wp:extent cx="4233545" cy="419100"/>
                <wp:effectExtent l="0" t="0" r="0" b="0"/>
                <wp:wrapTight wrapText="bothSides">
                  <wp:wrapPolygon edited="0">
                    <wp:start x="0" y="0"/>
                    <wp:lineTo x="0" y="20618"/>
                    <wp:lineTo x="21480" y="20618"/>
                    <wp:lineTo x="2148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4233545" cy="419100"/>
                        </a:xfrm>
                        <a:prstGeom prst="rect">
                          <a:avLst/>
                        </a:prstGeom>
                        <a:solidFill>
                          <a:prstClr val="white"/>
                        </a:solidFill>
                        <a:ln>
                          <a:noFill/>
                        </a:ln>
                      </wps:spPr>
                      <wps:txbx>
                        <w:txbxContent>
                          <w:p w14:paraId="02EC1478" w14:textId="7B343CC4" w:rsidR="00AA6CD7" w:rsidRDefault="00AA6CD7" w:rsidP="002B6BE1">
                            <w:pPr>
                              <w:pStyle w:val="Caption"/>
                            </w:pPr>
                            <w:r>
                              <w:t>Fig. 7 Conceptual schematic of PLCC</w:t>
                            </w:r>
                            <w:r w:rsidR="00046FC0">
                              <w:t xml:space="preserve"> base (blue)</w:t>
                            </w:r>
                            <w:r w:rsidR="002B6BE1">
                              <w:t xml:space="preserve"> as primary component </w:t>
                            </w:r>
                            <w:r>
                              <w:t>in a</w:t>
                            </w:r>
                            <w:r w:rsidR="002B6BE1">
                              <w:t xml:space="preserve"> d</w:t>
                            </w:r>
                            <w:r>
                              <w:t>ecentralized Stormwater Management System</w:t>
                            </w:r>
                          </w:p>
                          <w:p w14:paraId="35D9EC07" w14:textId="77777777" w:rsidR="00AA6CD7" w:rsidRDefault="00AA6CD7" w:rsidP="00A55266">
                            <w:pPr>
                              <w:pStyle w:val="Caption"/>
                              <w:jc w:val="right"/>
                            </w:pPr>
                          </w:p>
                          <w:p w14:paraId="04409760" w14:textId="77777777" w:rsidR="00AA6CD7" w:rsidRPr="00834079" w:rsidRDefault="00AA6CD7" w:rsidP="00A5526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E8E04" id="Text Box 19" o:spid="_x0000_s1032" type="#_x0000_t202" style="position:absolute;margin-left:127.1pt;margin-top:102.4pt;width:333.35pt;height:3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" stroked="f">
                <v:textbox inset="0,0,0,0">
                  <w:txbxContent>
                    <w:p w14:paraId="02EC1478" w14:textId="7B343CC4" w:rsidR="00AA6CD7" w:rsidRDefault="00AA6CD7" w:rsidP="002B6BE1">
                      <w:pPr>
                        <w:pStyle w:val="Caption"/>
                      </w:pPr>
                      <w:r>
                        <w:t>Fig. 7 Conceptual schematic of PLCC</w:t>
                      </w:r>
                      <w:r w:rsidR="00046FC0">
                        <w:t xml:space="preserve"> base (blue)</w:t>
                      </w:r>
                      <w:r w:rsidR="002B6BE1">
                        <w:t xml:space="preserve"> as primary component </w:t>
                      </w:r>
                      <w:r>
                        <w:t>in a</w:t>
                      </w:r>
                      <w:r w:rsidR="002B6BE1">
                        <w:t xml:space="preserve"> d</w:t>
                      </w:r>
                      <w:r>
                        <w:t>ecentralized Stormwater Management System</w:t>
                      </w:r>
                    </w:p>
                    <w:p w14:paraId="35D9EC07" w14:textId="77777777" w:rsidR="00AA6CD7" w:rsidRDefault="00AA6CD7" w:rsidP="00A55266">
                      <w:pPr>
                        <w:pStyle w:val="Caption"/>
                        <w:jc w:val="right"/>
                      </w:pPr>
                    </w:p>
                    <w:p w14:paraId="04409760" w14:textId="77777777" w:rsidR="00AA6CD7" w:rsidRPr="00834079" w:rsidRDefault="00AA6CD7" w:rsidP="00A55266">
                      <w:pPr>
                        <w:pStyle w:val="Caption"/>
                        <w:rPr>
                          <w:noProof/>
                        </w:rPr>
                      </w:pPr>
                    </w:p>
                  </w:txbxContent>
                </v:textbox>
                <w10:wrap type="tight"/>
              </v:shape>
            </w:pict>
          </mc:Fallback>
        </mc:AlternateContent>
      </w:r>
      <w:r w:rsidR="002B6BE1">
        <w:t>To better understand the flow, absorption capacity, and durability of LCC and PLCC, the</w:t>
      </w:r>
      <w:r>
        <w:t xml:space="preserve"> University of Utah </w:t>
      </w:r>
      <w:r w:rsidR="002B6BE1">
        <w:t xml:space="preserve">has </w:t>
      </w:r>
      <w:r>
        <w:t xml:space="preserve">conducted </w:t>
      </w:r>
      <w:r w:rsidR="002B6BE1">
        <w:t>additional constant head testing of   PLCC specimens</w:t>
      </w:r>
      <w:r>
        <w:t xml:space="preserve"> to </w:t>
      </w:r>
      <w:r w:rsidR="002B6BE1">
        <w:t>define further</w:t>
      </w:r>
      <w:r>
        <w:t xml:space="preserve"> </w:t>
      </w:r>
      <w:r w:rsidR="002B6BE1">
        <w:t xml:space="preserve">design properties, including </w:t>
      </w:r>
      <w:r>
        <w:t xml:space="preserve">infiltration rates, hydraulic conductivity, </w:t>
      </w:r>
      <w:r w:rsidR="002B6BE1">
        <w:t>storage</w:t>
      </w:r>
      <w:r>
        <w:t xml:space="preserve"> capacity,</w:t>
      </w:r>
      <w:r w:rsidR="002B6BE1">
        <w:t xml:space="preserve"> infiltration rates, </w:t>
      </w:r>
      <w:r w:rsidR="002B6BE1">
        <w:lastRenderedPageBreak/>
        <w:t xml:space="preserve">and </w:t>
      </w:r>
      <w:r>
        <w:t>strength and</w:t>
      </w:r>
      <w:r w:rsidR="002B6BE1">
        <w:t xml:space="preserve"> stiffness properties of LCC and PLCC (i.e.,</w:t>
      </w:r>
      <w:r>
        <w:t xml:space="preserve"> </w:t>
      </w:r>
      <w:r w:rsidR="002B6BE1">
        <w:t xml:space="preserve">shear strength and </w:t>
      </w:r>
      <w:r>
        <w:t>resilient modulus</w:t>
      </w:r>
      <w:r w:rsidR="002B6BE1">
        <w:t>) (</w:t>
      </w:r>
      <w:r>
        <w:t>Bartlett et al., 2024; Seely</w:t>
      </w:r>
      <w:r w:rsidR="002B6BE1">
        <w:t>,</w:t>
      </w:r>
      <w:r>
        <w:t xml:space="preserve"> 2024). </w:t>
      </w:r>
    </w:p>
    <w:p w14:paraId="28E3469D" w14:textId="5E6788DC" w:rsidR="00CB1AA1" w:rsidRDefault="002B6BE1" w:rsidP="002B6BE1">
      <w:r>
        <w:t>Constant head p</w:t>
      </w:r>
      <w:r w:rsidR="00CB1AA1">
        <w:t>ermeability testing</w:t>
      </w:r>
      <w:r>
        <w:t xml:space="preserve"> was performed on sixteen 76.2 x 152.4 mm </w:t>
      </w:r>
      <w:r w:rsidR="00CB1AA1">
        <w:t>specimens</w:t>
      </w:r>
      <w:r w:rsidR="00763E2C">
        <w:t xml:space="preserve"> created using AQUAERIX-LB™</w:t>
      </w:r>
      <w:r w:rsidR="00CB1AA1">
        <w:t xml:space="preserve"> </w:t>
      </w:r>
      <w:r w:rsidR="00763E2C">
        <w:t xml:space="preserve">foaming agent (Masloff et al., 2022) </w:t>
      </w:r>
      <w:r>
        <w:t>having a</w:t>
      </w:r>
      <w:r w:rsidR="00CB1AA1">
        <w:t xml:space="preserve"> dry density ranging from 375 to 41</w:t>
      </w:r>
      <w:r>
        <w:t>9</w:t>
      </w:r>
      <w:r w:rsidR="00CB1AA1">
        <w:t xml:space="preserve"> kg/m³ with an average of </w:t>
      </w:r>
      <w:r>
        <w:t>408</w:t>
      </w:r>
      <w:r w:rsidR="00CB1AA1">
        <w:t xml:space="preserve"> and a standard deviation of </w:t>
      </w:r>
      <w:r>
        <w:t>17.5</w:t>
      </w:r>
      <w:r w:rsidR="00CB1AA1">
        <w:t xml:space="preserve"> kg/m³. The total density ranged from 806 to </w:t>
      </w:r>
      <w:r>
        <w:t>1005</w:t>
      </w:r>
      <w:r w:rsidR="00CB1AA1">
        <w:t xml:space="preserve"> kg/m³ with an average of </w:t>
      </w:r>
      <w:r>
        <w:t>921</w:t>
      </w:r>
      <w:r w:rsidR="00CB1AA1">
        <w:t xml:space="preserve"> and a standard deviation of </w:t>
      </w:r>
      <w:r>
        <w:t>84</w:t>
      </w:r>
      <w:r w:rsidR="00CB1AA1">
        <w:t xml:space="preserve"> kg/m³.</w:t>
      </w:r>
      <w:r w:rsidR="00CB1AA1" w:rsidRPr="00CA187F">
        <w:t xml:space="preserve"> </w:t>
      </w:r>
      <w:r w:rsidR="00CB1AA1">
        <w:t xml:space="preserve">The average hydraulic conductivity was </w:t>
      </w:r>
      <w:r>
        <w:t>1.48</w:t>
      </w:r>
      <w:r w:rsidR="00CB1AA1" w:rsidRPr="005A5A32">
        <w:rPr>
          <w:vertAlign w:val="superscript"/>
        </w:rPr>
        <w:t>-</w:t>
      </w:r>
      <w:r>
        <w:rPr>
          <w:vertAlign w:val="superscript"/>
        </w:rPr>
        <w:t>3</w:t>
      </w:r>
      <w:r w:rsidR="00CB1AA1" w:rsidRPr="006002CD">
        <w:t xml:space="preserve"> </w:t>
      </w:r>
      <w:r w:rsidR="00CB1AA1">
        <w:t>m/s, with a standard deviation of 1.</w:t>
      </w:r>
      <w:r w:rsidR="00A25F51">
        <w:t>37</w:t>
      </w:r>
      <w:r w:rsidR="00CB1AA1">
        <w:t>x10</w:t>
      </w:r>
      <w:r w:rsidRPr="002B6BE1">
        <w:rPr>
          <w:vertAlign w:val="superscript"/>
        </w:rPr>
        <w:t>-3</w:t>
      </w:r>
      <w:r w:rsidR="00CB1AA1" w:rsidRPr="006002CD">
        <w:t xml:space="preserve"> </w:t>
      </w:r>
      <w:r w:rsidR="00CB1AA1">
        <w:t xml:space="preserve">m/s, an </w:t>
      </w:r>
      <w:r>
        <w:t xml:space="preserve">average </w:t>
      </w:r>
      <w:r w:rsidR="00CB1AA1">
        <w:t xml:space="preserve">absorption capacity of </w:t>
      </w:r>
      <w:r>
        <w:t>51.3</w:t>
      </w:r>
      <w:r w:rsidR="00CB1AA1">
        <w:t xml:space="preserve">%, and a standard deviation of </w:t>
      </w:r>
      <w:r>
        <w:t>7.37</w:t>
      </w:r>
      <w:r w:rsidR="00CB1AA1">
        <w:t>%.</w:t>
      </w:r>
      <w:r>
        <w:t xml:space="preserve"> The buoyant uplift force varied from </w:t>
      </w:r>
      <w:r w:rsidR="00553370">
        <w:t>1.90</w:t>
      </w:r>
      <w:r>
        <w:t xml:space="preserve"> to -0.</w:t>
      </w:r>
      <w:r w:rsidR="00553370">
        <w:t>047,</w:t>
      </w:r>
      <w:r>
        <w:t xml:space="preserve"> averaging </w:t>
      </w:r>
      <w:r w:rsidR="00553370">
        <w:t xml:space="preserve">0.771 </w:t>
      </w:r>
      <w:proofErr w:type="spellStart"/>
      <w:r w:rsidR="00553370">
        <w:t>kN</w:t>
      </w:r>
      <w:proofErr w:type="spellEnd"/>
      <w:r>
        <w:t xml:space="preserve"> </w:t>
      </w:r>
      <w:r w:rsidR="00553370">
        <w:t xml:space="preserve">/m³ </w:t>
      </w:r>
      <w:r>
        <w:t xml:space="preserve">with a standard deviation of </w:t>
      </w:r>
      <w:r w:rsidR="00553370">
        <w:t xml:space="preserve">0.220 </w:t>
      </w:r>
      <w:proofErr w:type="spellStart"/>
      <w:r>
        <w:t>kN</w:t>
      </w:r>
      <w:proofErr w:type="spellEnd"/>
      <w:r>
        <w:t>/m³. Additional constant head testing of seven larger specimens (152.4</w:t>
      </w:r>
      <w:r w:rsidR="00553370">
        <w:t xml:space="preserve"> </w:t>
      </w:r>
      <w:r>
        <w:t>x</w:t>
      </w:r>
      <w:r w:rsidR="00553370">
        <w:t xml:space="preserve"> </w:t>
      </w:r>
      <w:r>
        <w:t>304.8 mm) produced an average hydraulic conductivity of 1.2</w:t>
      </w:r>
      <w:r w:rsidR="00A25F51">
        <w:t>3</w:t>
      </w:r>
      <w:r>
        <w:t>x10</w:t>
      </w:r>
      <w:r w:rsidRPr="002B6BE1">
        <w:rPr>
          <w:vertAlign w:val="superscript"/>
        </w:rPr>
        <w:t>-3</w:t>
      </w:r>
      <w:r w:rsidRPr="006002CD">
        <w:t xml:space="preserve"> </w:t>
      </w:r>
      <w:r>
        <w:t>m/s with a standard deviation of 4.9</w:t>
      </w:r>
      <w:r w:rsidR="00A25F51">
        <w:t>1</w:t>
      </w:r>
      <w:r>
        <w:t>x10</w:t>
      </w:r>
      <w:r w:rsidRPr="002B6BE1">
        <w:rPr>
          <w:vertAlign w:val="superscript"/>
        </w:rPr>
        <w:t>-</w:t>
      </w:r>
      <w:r>
        <w:rPr>
          <w:vertAlign w:val="superscript"/>
        </w:rPr>
        <w:t xml:space="preserve">4 </w:t>
      </w:r>
      <w:r>
        <w:t xml:space="preserve">m/s. The hydraulic conductivity for </w:t>
      </w:r>
      <w:r w:rsidR="00A25F51">
        <w:t>both</w:t>
      </w:r>
      <w:r>
        <w:t xml:space="preserve"> series of tests falls within the medium permeability range (Table 1).</w:t>
      </w:r>
    </w:p>
    <w:p w14:paraId="5972E014" w14:textId="6985F4C2" w:rsidR="00553370" w:rsidRDefault="008314CF" w:rsidP="00CB1AA1">
      <w:r>
        <w:t>In some applications</w:t>
      </w:r>
      <w:r w:rsidR="00177A24">
        <w:t xml:space="preserve"> and systems</w:t>
      </w:r>
      <w:r>
        <w:t xml:space="preserve">, a nonwoven geotextile </w:t>
      </w:r>
      <w:r w:rsidR="00177A24">
        <w:t>can be</w:t>
      </w:r>
      <w:r>
        <w:t xml:space="preserve"> used as a separation layer between the cellular concrete </w:t>
      </w:r>
      <w:r w:rsidR="00177A24">
        <w:t xml:space="preserve">and </w:t>
      </w:r>
      <w:r>
        <w:t>the basal or cover</w:t>
      </w:r>
      <w:r w:rsidR="00553370">
        <w:t>ed</w:t>
      </w:r>
      <w:r>
        <w:t xml:space="preserve"> soil.</w:t>
      </w:r>
      <w:r w:rsidR="00177A24">
        <w:t xml:space="preserve"> Because n</w:t>
      </w:r>
      <w:r w:rsidRPr="008314CF">
        <w:t xml:space="preserve">onwoven geotextiles are often needle-punched, </w:t>
      </w:r>
      <w:r w:rsidR="00177A24">
        <w:t xml:space="preserve">this </w:t>
      </w:r>
      <w:r w:rsidRPr="008314CF">
        <w:t xml:space="preserve">gives them a 3D structure </w:t>
      </w:r>
      <w:r w:rsidR="00177A24">
        <w:t>more resistant to</w:t>
      </w:r>
      <w:r w:rsidRPr="008314CF">
        <w:t xml:space="preserve"> clogging woven alternatives, especially in applications with high fines content or biological activity.</w:t>
      </w:r>
      <w:r>
        <w:t xml:space="preserve"> </w:t>
      </w:r>
      <w:r w:rsidR="00553370">
        <w:t>Geotextiles allow water to pass through while trapping fine particles when it is placed between fine and coarse materials (like soil and aggregate)</w:t>
      </w:r>
      <w:r w:rsidR="00177A24" w:rsidRPr="00177A24">
        <w:t xml:space="preserve">. </w:t>
      </w:r>
      <w:r w:rsidR="00177A24">
        <w:t>Besides filtration, nonwoven geotextiles keep dissimilar materials separate</w:t>
      </w:r>
      <w:r w:rsidR="00553370">
        <w:t>, preventing fines from a subgrade layer from migrating upward into an LCC or PLCC base layer, helping maintain the system's structural integrity</w:t>
      </w:r>
      <w:r w:rsidR="006538DF">
        <w:t>.</w:t>
      </w:r>
      <w:r w:rsidR="00553370">
        <w:t xml:space="preserve"> </w:t>
      </w:r>
      <w:r w:rsidR="006538DF">
        <w:t xml:space="preserve"> </w:t>
      </w:r>
    </w:p>
    <w:p w14:paraId="7ABADD60" w14:textId="77777777" w:rsidR="002C5D6B" w:rsidRDefault="002C5D6B" w:rsidP="00C067AF">
      <w:r>
        <w:rPr>
          <w:noProof/>
        </w:rPr>
        <mc:AlternateContent>
          <mc:Choice Requires="wps">
            <w:drawing>
              <wp:anchor distT="0" distB="0" distL="114300" distR="114300" simplePos="0" relativeHeight="251684864" behindDoc="1" locked="0" layoutInCell="1" allowOverlap="1" wp14:anchorId="6B6F17A9" wp14:editId="0CC4AB36">
                <wp:simplePos x="0" y="0"/>
                <wp:positionH relativeFrom="margin">
                  <wp:posOffset>2844165</wp:posOffset>
                </wp:positionH>
                <wp:positionV relativeFrom="paragraph">
                  <wp:posOffset>2201545</wp:posOffset>
                </wp:positionV>
                <wp:extent cx="2753995" cy="635"/>
                <wp:effectExtent l="0" t="0" r="8255" b="0"/>
                <wp:wrapTight wrapText="bothSides">
                  <wp:wrapPolygon edited="0">
                    <wp:start x="0" y="0"/>
                    <wp:lineTo x="0" y="20282"/>
                    <wp:lineTo x="21515" y="20282"/>
                    <wp:lineTo x="21515" y="0"/>
                    <wp:lineTo x="0" y="0"/>
                  </wp:wrapPolygon>
                </wp:wrapTight>
                <wp:docPr id="1870544066" name="Text Box 1"/>
                <wp:cNvGraphicFramePr/>
                <a:graphic xmlns:a="http://schemas.openxmlformats.org/drawingml/2006/main">
                  <a:graphicData uri="http://schemas.microsoft.com/office/word/2010/wordprocessingShape">
                    <wps:wsp>
                      <wps:cNvSpPr txBox="1"/>
                      <wps:spPr>
                        <a:xfrm>
                          <a:off x="0" y="0"/>
                          <a:ext cx="2753995" cy="635"/>
                        </a:xfrm>
                        <a:prstGeom prst="rect">
                          <a:avLst/>
                        </a:prstGeom>
                        <a:solidFill>
                          <a:prstClr val="white"/>
                        </a:solidFill>
                        <a:ln>
                          <a:noFill/>
                        </a:ln>
                      </wps:spPr>
                      <wps:txbx>
                        <w:txbxContent>
                          <w:p w14:paraId="3F2A9305" w14:textId="2FB5A16B" w:rsidR="00553370" w:rsidRPr="00642CA0" w:rsidRDefault="00553370" w:rsidP="00553370">
                            <w:pPr>
                              <w:pStyle w:val="Caption"/>
                              <w:rPr>
                                <w:noProof/>
                                <w:sz w:val="22"/>
                                <w:szCs w:val="22"/>
                              </w:rPr>
                            </w:pPr>
                            <w:r>
                              <w:t>Fig 8 Results of infiltration testing of PLCC for specimens prepared with and without a non-woven geotextile.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6F17A9" id="_x0000_s1033" type="#_x0000_t202" style="position:absolute;margin-left:223.95pt;margin-top:173.35pt;width:216.85pt;height:.05pt;z-index:-251631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" stroked="f">
                <v:textbox style="mso-fit-shape-to-text:t" inset="0,0,0,0">
                  <w:txbxContent>
                    <w:p w14:paraId="3F2A9305" w14:textId="2FB5A16B" w:rsidR="00553370" w:rsidRPr="00642CA0" w:rsidRDefault="00553370" w:rsidP="00553370">
                      <w:pPr>
                        <w:pStyle w:val="Caption"/>
                        <w:rPr>
                          <w:noProof/>
                          <w:sz w:val="22"/>
                          <w:szCs w:val="22"/>
                        </w:rPr>
                      </w:pPr>
                      <w:r>
                        <w:t>Fig 8 Results of infiltration testing of PLCC for specimens prepared with and without a non-woven geotextile.</w:t>
                      </w:r>
                    </w:p>
                  </w:txbxContent>
                </v:textbox>
                <w10:wrap type="tight" anchorx="margin"/>
              </v:shape>
            </w:pict>
          </mc:Fallback>
        </mc:AlternateContent>
      </w:r>
      <w:r>
        <w:rPr>
          <w:noProof/>
        </w:rPr>
        <w:drawing>
          <wp:anchor distT="0" distB="0" distL="114300" distR="114300" simplePos="0" relativeHeight="251682816" behindDoc="1" locked="0" layoutInCell="1" allowOverlap="1" wp14:anchorId="603330FB" wp14:editId="3BB1493C">
            <wp:simplePos x="0" y="0"/>
            <wp:positionH relativeFrom="column">
              <wp:posOffset>2379345</wp:posOffset>
            </wp:positionH>
            <wp:positionV relativeFrom="paragraph">
              <wp:posOffset>38100</wp:posOffset>
            </wp:positionV>
            <wp:extent cx="3350260" cy="2284095"/>
            <wp:effectExtent l="0" t="0" r="2540" b="1905"/>
            <wp:wrapTight wrapText="bothSides">
              <wp:wrapPolygon edited="0">
                <wp:start x="0" y="0"/>
                <wp:lineTo x="0" y="21438"/>
                <wp:lineTo x="21494" y="21438"/>
                <wp:lineTo x="21494" y="0"/>
                <wp:lineTo x="0" y="0"/>
              </wp:wrapPolygon>
            </wp:wrapTight>
            <wp:docPr id="1672154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54338"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3350260" cy="2284095"/>
                    </a:xfrm>
                    <a:prstGeom prst="rect">
                      <a:avLst/>
                    </a:prstGeom>
                  </pic:spPr>
                </pic:pic>
              </a:graphicData>
            </a:graphic>
            <wp14:sizeRelH relativeFrom="page">
              <wp14:pctWidth>0</wp14:pctWidth>
            </wp14:sizeRelH>
            <wp14:sizeRelV relativeFrom="page">
              <wp14:pctHeight>0</wp14:pctHeight>
            </wp14:sizeRelV>
          </wp:anchor>
        </w:drawing>
      </w:r>
      <w:r w:rsidR="006538DF">
        <w:t>However, w</w:t>
      </w:r>
      <w:r w:rsidR="00CB1AA1">
        <w:t xml:space="preserve">hen a </w:t>
      </w:r>
      <w:r w:rsidR="006538DF">
        <w:t>wet</w:t>
      </w:r>
      <w:r w:rsidR="00553370">
        <w:t xml:space="preserve">, </w:t>
      </w:r>
      <w:r w:rsidR="00CB1AA1">
        <w:t xml:space="preserve">cement-based </w:t>
      </w:r>
      <w:r w:rsidR="006538DF">
        <w:t xml:space="preserve">LCC or PLCC </w:t>
      </w:r>
      <w:r w:rsidR="00CB1AA1">
        <w:t>mixture is applied to a nonwoven geotextile fabric</w:t>
      </w:r>
      <w:r w:rsidR="006538DF">
        <w:t>,</w:t>
      </w:r>
      <w:r w:rsidR="00CB1AA1">
        <w:t xml:space="preserve"> th</w:t>
      </w:r>
      <w:r w:rsidR="006538DF">
        <w:t xml:space="preserve">ere is the possibility of </w:t>
      </w:r>
      <w:r w:rsidR="00CB1AA1">
        <w:t>obstruct</w:t>
      </w:r>
      <w:r w:rsidR="006538DF">
        <w:t>ing</w:t>
      </w:r>
      <w:r w:rsidR="00CB1AA1">
        <w:t xml:space="preserve"> the fabric's pores</w:t>
      </w:r>
      <w:r w:rsidR="006538DF">
        <w:t xml:space="preserve"> at this interface and reducing the system</w:t>
      </w:r>
      <w:r w:rsidR="00553370">
        <w:t>'</w:t>
      </w:r>
      <w:r w:rsidR="006538DF">
        <w:t>s overall infiltration or drainage rate.</w:t>
      </w:r>
      <w:r w:rsidR="00553370">
        <w:t xml:space="preserve"> To explore this, we prepared </w:t>
      </w:r>
      <w:r w:rsidR="00063362">
        <w:t xml:space="preserve">four </w:t>
      </w:r>
      <w:r w:rsidR="00063362">
        <w:t>152.4 x 304.8 mm specimens</w:t>
      </w:r>
      <w:r w:rsidR="00063362">
        <w:t xml:space="preserve"> and </w:t>
      </w:r>
      <w:r w:rsidR="009F7749">
        <w:t>consecutively</w:t>
      </w:r>
      <w:r w:rsidR="00063362">
        <w:t xml:space="preserve"> tested these </w:t>
      </w:r>
      <w:r w:rsidR="009F7749">
        <w:t xml:space="preserve">using </w:t>
      </w:r>
      <w:r w:rsidR="00553370">
        <w:t xml:space="preserve">three variations of that included (1) wet casting of PLCC on the basal geotextile and infiltration testing after curing, (2) removing and replacing the original geotextile of the first variation with a new geotextile attached to the base of the cured PLCC sample and infiltration retesting, and (3) retesting samples with the geotextile of variation </w:t>
      </w:r>
      <w:r w:rsidR="00063362">
        <w:t xml:space="preserve">2 </w:t>
      </w:r>
      <w:r w:rsidR="00553370">
        <w:t xml:space="preserve">removed (Bartlett et al., 2024). </w:t>
      </w:r>
      <w:r w:rsidR="00063362">
        <w:t xml:space="preserve">Four </w:t>
      </w:r>
      <w:r w:rsidR="00063362">
        <w:t>aired-</w:t>
      </w:r>
      <w:r w:rsidR="00063362">
        <w:t>specimens were prepared</w:t>
      </w:r>
      <w:r w:rsidR="00063362">
        <w:t xml:space="preserve"> </w:t>
      </w:r>
      <w:r w:rsidR="00C067AF">
        <w:t>These air-dried specimens were subject to constant head gravity flow (i.e., vertical hydraulic gradient = 1) for 1 hour.</w:t>
      </w:r>
      <w:r w:rsidR="00063362">
        <w:t xml:space="preserve"> Steady state</w:t>
      </w:r>
      <w:r w:rsidR="009F7749">
        <w:t xml:space="preserve"> flow was achieved after </w:t>
      </w:r>
      <w:r>
        <w:t xml:space="preserve">about </w:t>
      </w:r>
      <w:r w:rsidR="009F7749">
        <w:t xml:space="preserve">30 minutes. </w:t>
      </w:r>
      <w:r w:rsidR="00553370">
        <w:t xml:space="preserve">The </w:t>
      </w:r>
      <w:r w:rsidR="009F7749">
        <w:t>average</w:t>
      </w:r>
      <w:r w:rsidR="00553370">
        <w:t xml:space="preserve"> infiltration rates</w:t>
      </w:r>
      <w:r w:rsidR="00C067AF">
        <w:t xml:space="preserve"> at t = 10 min</w:t>
      </w:r>
      <w:r>
        <w:t>.</w:t>
      </w:r>
      <w:r w:rsidR="00C067AF">
        <w:t xml:space="preserve"> </w:t>
      </w:r>
      <w:r w:rsidR="009F7749">
        <w:t>are</w:t>
      </w:r>
      <w:r w:rsidR="00C067AF">
        <w:t xml:space="preserve"> </w:t>
      </w:r>
      <w:r>
        <w:t xml:space="preserve">32.1, 30.2 and 34.6 and are 12.6, 11.0 and 13.7 at t = 30 min. </w:t>
      </w:r>
      <w:r>
        <w:t>for variations 1, 2, and 3, respectively</w:t>
      </w:r>
      <w:r>
        <w:t>.</w:t>
      </w:r>
      <w:r>
        <w:t xml:space="preserve"> Therefore, the wet casting</w:t>
      </w:r>
      <w:r>
        <w:t xml:space="preserve"> on</w:t>
      </w:r>
      <w:r>
        <w:t xml:space="preserve"> and dry placement of the geotextile reduced the infiltration rate</w:t>
      </w:r>
      <w:r>
        <w:t>s</w:t>
      </w:r>
      <w:r>
        <w:t xml:space="preserve"> by 7.2 and 12.7 percent, respectively</w:t>
      </w:r>
      <w:r>
        <w:t xml:space="preserve"> for t = 10 min and by 8.0 and 19.7 percent for t = 30 min, respectively.</w:t>
      </w:r>
    </w:p>
    <w:p w14:paraId="34EE642A" w14:textId="4135FAFF" w:rsidR="00145691" w:rsidRDefault="00C067AF" w:rsidP="00C067AF">
      <w:r>
        <w:lastRenderedPageBreak/>
        <w:t>We also observed the wet casting of the PLCC on the geotextile</w:t>
      </w:r>
      <w:r w:rsidR="009F7749">
        <w:t xml:space="preserve"> </w:t>
      </w:r>
      <w:r>
        <w:t>produced a strong adhesion bond at this interface when cu</w:t>
      </w:r>
      <w:r w:rsidR="009F7749">
        <w:t>red. This</w:t>
      </w:r>
      <w:r w:rsidR="002C5D6B">
        <w:t xml:space="preserve"> bonding</w:t>
      </w:r>
      <w:r w:rsidR="009F7749">
        <w:t xml:space="preserve"> occurred </w:t>
      </w:r>
      <w:r>
        <w:t xml:space="preserve">because the </w:t>
      </w:r>
      <w:r w:rsidR="00CB1AA1">
        <w:t>PLCC</w:t>
      </w:r>
      <w:r w:rsidR="009F7749">
        <w:t xml:space="preserve"> mix</w:t>
      </w:r>
      <w:r w:rsidR="00CB1AA1">
        <w:t xml:space="preserve"> ha</w:t>
      </w:r>
      <w:r w:rsidR="009F7749">
        <w:t xml:space="preserve">d infiltrated the nonwoven geotextile </w:t>
      </w:r>
      <w:r w:rsidR="00CB1AA1">
        <w:t xml:space="preserve">during </w:t>
      </w:r>
      <w:r w:rsidR="009F7749">
        <w:t>the</w:t>
      </w:r>
      <w:r w:rsidR="00CB1AA1">
        <w:t xml:space="preserve"> casting </w:t>
      </w:r>
      <w:r w:rsidR="009F7749">
        <w:t>of the specimens</w:t>
      </w:r>
      <w:r>
        <w:t xml:space="preserve">. </w:t>
      </w:r>
      <w:r w:rsidR="009F7749">
        <w:t>Therefore, we conclude that</w:t>
      </w:r>
      <w:r w:rsidR="002C5D6B">
        <w:t xml:space="preserve"> the PLCC interface with a</w:t>
      </w:r>
      <w:r>
        <w:t xml:space="preserve"> nonwoven</w:t>
      </w:r>
      <w:r w:rsidR="00CB1AA1">
        <w:t xml:space="preserve"> geotextile may experience long-term plugging</w:t>
      </w:r>
      <w:r>
        <w:t xml:space="preserve"> from biofouling or</w:t>
      </w:r>
      <w:r w:rsidR="002C5D6B">
        <w:t xml:space="preserve"> accumulation of</w:t>
      </w:r>
      <w:r>
        <w:t xml:space="preserve"> </w:t>
      </w:r>
      <w:r w:rsidR="00CB1AA1">
        <w:t>fine-grained particle</w:t>
      </w:r>
      <w:r w:rsidR="002C5D6B">
        <w:t xml:space="preserve"> at this interface</w:t>
      </w:r>
      <w:r>
        <w:t>.</w:t>
      </w:r>
      <w:r w:rsidR="009F7749">
        <w:t xml:space="preserve"> </w:t>
      </w:r>
      <w:r w:rsidR="009F7749">
        <w:t>However, additional</w:t>
      </w:r>
      <w:r w:rsidR="002C5D6B">
        <w:t xml:space="preserve"> studies regarding long-term plugging potential are</w:t>
      </w:r>
      <w:r w:rsidR="009F7749">
        <w:t xml:space="preserve"> warranted, including </w:t>
      </w:r>
      <w:r w:rsidR="002C5D6B">
        <w:t>the use of different geosynthetic or natural materials.</w:t>
      </w:r>
    </w:p>
    <w:p w14:paraId="38857D25" w14:textId="77777777" w:rsidR="005A450A" w:rsidRDefault="00705E4F" w:rsidP="00705E4F">
      <w:pPr>
        <w:pStyle w:val="Heading1"/>
      </w:pPr>
      <w:r>
        <w:t>Durability</w:t>
      </w:r>
    </w:p>
    <w:p w14:paraId="741EBEC4" w14:textId="77777777" w:rsidR="00705E4F" w:rsidRDefault="00976AD5" w:rsidP="00705E4F">
      <w:pPr>
        <w:pStyle w:val="Heading2"/>
      </w:pPr>
      <w:r>
        <w:t xml:space="preserve">Unconfined </w:t>
      </w:r>
      <w:r w:rsidR="00705E4F">
        <w:t>Compressive Strength</w:t>
      </w:r>
      <w:r>
        <w:t xml:space="preserve"> (UCS)</w:t>
      </w:r>
    </w:p>
    <w:p w14:paraId="5A896C99" w14:textId="77777777" w:rsidR="00053456" w:rsidRDefault="00053456" w:rsidP="00976AD5">
      <w:r>
        <w:t xml:space="preserve">We believe that the source of the unconfined compressive strength (UCS) is complex and primarily results from a combination of chemical bonding of the cement achieved during cement hydration and curing and a minor component from matric and osmotic suction. Notwithstanding, we recognized that the UCS cannot be guaranteed during the system's design life due to the potential for degradation from environmental factors and other loading conditions; hence, a resistance factor of less than 1.0 is required for LRFD design for long-term conditions. </w:t>
      </w:r>
    </w:p>
    <w:p w14:paraId="65180C1C" w14:textId="3D7755F5" w:rsidR="00976AD5" w:rsidRDefault="002B6BE1" w:rsidP="00976AD5">
      <w:r>
        <w:rPr>
          <w:noProof/>
        </w:rPr>
        <w:drawing>
          <wp:anchor distT="0" distB="0" distL="114300" distR="114300" simplePos="0" relativeHeight="251676672" behindDoc="1" locked="0" layoutInCell="1" allowOverlap="1" wp14:anchorId="0EADDD82" wp14:editId="54A9E2F8">
            <wp:simplePos x="0" y="0"/>
            <wp:positionH relativeFrom="column">
              <wp:posOffset>2003425</wp:posOffset>
            </wp:positionH>
            <wp:positionV relativeFrom="paragraph">
              <wp:posOffset>9525</wp:posOffset>
            </wp:positionV>
            <wp:extent cx="3884295" cy="2627630"/>
            <wp:effectExtent l="0" t="0" r="1905" b="1270"/>
            <wp:wrapTight wrapText="bothSides">
              <wp:wrapPolygon edited="0">
                <wp:start x="0" y="0"/>
                <wp:lineTo x="0" y="21454"/>
                <wp:lineTo x="21505" y="21454"/>
                <wp:lineTo x="215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4295" cy="2627630"/>
                    </a:xfrm>
                    <a:prstGeom prst="rect">
                      <a:avLst/>
                    </a:prstGeom>
                  </pic:spPr>
                </pic:pic>
              </a:graphicData>
            </a:graphic>
            <wp14:sizeRelH relativeFrom="page">
              <wp14:pctWidth>0</wp14:pctWidth>
            </wp14:sizeRelH>
            <wp14:sizeRelV relativeFrom="page">
              <wp14:pctHeight>0</wp14:pctHeight>
            </wp14:sizeRelV>
          </wp:anchor>
        </w:drawing>
      </w:r>
      <w:r w:rsidR="00053456">
        <w:t xml:space="preserve">However, </w:t>
      </w:r>
      <w:r w:rsidR="00976AD5">
        <w:rPr>
          <w:noProof/>
        </w:rPr>
        <mc:AlternateContent>
          <mc:Choice Requires="wps">
            <w:drawing>
              <wp:anchor distT="0" distB="0" distL="114300" distR="114300" simplePos="0" relativeHeight="251678720" behindDoc="1" locked="0" layoutInCell="1" allowOverlap="1" wp14:anchorId="03B3D66B" wp14:editId="253579F9">
                <wp:simplePos x="0" y="0"/>
                <wp:positionH relativeFrom="column">
                  <wp:posOffset>1934965</wp:posOffset>
                </wp:positionH>
                <wp:positionV relativeFrom="paragraph">
                  <wp:posOffset>2843633</wp:posOffset>
                </wp:positionV>
                <wp:extent cx="405511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4055110" cy="635"/>
                        </a:xfrm>
                        <a:prstGeom prst="rect">
                          <a:avLst/>
                        </a:prstGeom>
                        <a:solidFill>
                          <a:prstClr val="white"/>
                        </a:solidFill>
                        <a:ln>
                          <a:noFill/>
                        </a:ln>
                      </wps:spPr>
                      <wps:txbx>
                        <w:txbxContent>
                          <w:p w14:paraId="26981031" w14:textId="77777777" w:rsidR="00AA6CD7" w:rsidRPr="007860C9" w:rsidRDefault="00AA6CD7" w:rsidP="00976AD5">
                            <w:pPr>
                              <w:pStyle w:val="Caption"/>
                              <w:rPr>
                                <w:noProof/>
                              </w:rPr>
                            </w:pPr>
                            <w:r>
                              <w:t xml:space="preserve">Fig. 7 </w:t>
                            </w:r>
                            <w:r w:rsidRPr="00976AD5">
                              <w:t xml:space="preserve">Initial yield and the </w:t>
                            </w:r>
                            <w:r>
                              <w:t xml:space="preserve">peak </w:t>
                            </w:r>
                            <w:r w:rsidRPr="00976AD5">
                              <w:t>UCS of the air-dried LCC specimens as a function of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B3D66B" id="Text Box 9" o:spid="_x0000_s1034" type="#_x0000_t202" style="position:absolute;margin-left:152.35pt;margin-top:223.9pt;width:319.3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" stroked="f">
                <v:textbox style="mso-fit-shape-to-text:t" inset="0,0,0,0">
                  <w:txbxContent>
                    <w:p w14:paraId="26981031" w14:textId="77777777" w:rsidR="00AA6CD7" w:rsidRPr="007860C9" w:rsidRDefault="00AA6CD7" w:rsidP="00976AD5">
                      <w:pPr>
                        <w:pStyle w:val="Caption"/>
                        <w:rPr>
                          <w:noProof/>
                        </w:rPr>
                      </w:pPr>
                      <w:r>
                        <w:t xml:space="preserve">Fig. 7 </w:t>
                      </w:r>
                      <w:r w:rsidRPr="00976AD5">
                        <w:t xml:space="preserve">Initial yield and the </w:t>
                      </w:r>
                      <w:r>
                        <w:t xml:space="preserve">peak </w:t>
                      </w:r>
                      <w:r w:rsidRPr="00976AD5">
                        <w:t>UCS of the air-dried LCC specimens as a function of time</w:t>
                      </w:r>
                    </w:p>
                  </w:txbxContent>
                </v:textbox>
                <w10:wrap type="tight"/>
              </v:shape>
            </w:pict>
          </mc:Fallback>
        </mc:AlternateContent>
      </w:r>
      <w:r w:rsidR="00053456">
        <w:t>t</w:t>
      </w:r>
      <w:r w:rsidR="00976AD5">
        <w:t xml:space="preserve">he UCS test is relatively quick, inexpensive, and requires no specialized equipment beyond what is found in a typical material testing laboratory. Because of this, </w:t>
      </w:r>
      <w:r w:rsidR="00053456">
        <w:t>engineering practice primarily utilizes</w:t>
      </w:r>
      <w:r w:rsidR="00976AD5">
        <w:t xml:space="preserve"> the UCS</w:t>
      </w:r>
      <w:r w:rsidR="00053456">
        <w:t xml:space="preserve"> as an indicator of the quality of the LCC mix. Seely (2024) </w:t>
      </w:r>
      <w:r w:rsidR="00976AD5">
        <w:t xml:space="preserve">performed </w:t>
      </w:r>
      <w:r w:rsidR="00053456">
        <w:t xml:space="preserve">UCS testing </w:t>
      </w:r>
      <w:r w:rsidR="00976AD5">
        <w:t>on air-dried specimens throughout the curing process to understand LCC's strength gain with time. The test program included 57 UCS tests with curing ages ranging from seven to 99 days (Seely, 2024). The air-dried density ranged</w:t>
      </w:r>
      <w:r w:rsidR="00CE26CD">
        <w:t xml:space="preserve"> </w:t>
      </w:r>
      <w:proofErr w:type="gramStart"/>
      <w:r w:rsidR="00CE26CD">
        <w:t xml:space="preserve">from </w:t>
      </w:r>
      <w:r w:rsidR="00976AD5">
        <w:t xml:space="preserve"> 308</w:t>
      </w:r>
      <w:proofErr w:type="gramEnd"/>
      <w:r w:rsidR="00976AD5">
        <w:t xml:space="preserve"> to 324 kg/m</w:t>
      </w:r>
      <w:r w:rsidR="00976AD5" w:rsidRPr="00976AD5">
        <w:rPr>
          <w:vertAlign w:val="superscript"/>
        </w:rPr>
        <w:t>3</w:t>
      </w:r>
      <w:r w:rsidR="00976AD5">
        <w:t>. The series testing was subsequently terminated at 1,050 days of curing. We note that m</w:t>
      </w:r>
      <w:r w:rsidR="00976AD5" w:rsidRPr="00976AD5">
        <w:t xml:space="preserve">ost specimens exhibited an initial reduction in strength before reaching the ultimate </w:t>
      </w:r>
      <w:r w:rsidR="00976AD5">
        <w:t xml:space="preserve">unconfined strength </w:t>
      </w:r>
      <w:r w:rsidR="00976AD5" w:rsidRPr="00976AD5">
        <w:t>or a substantial deviation from the initial straight-line portion of the stress-strain curve. This strength loss (i.e., deviation from Young</w:t>
      </w:r>
      <w:r w:rsidR="00976AD5">
        <w:t>'</w:t>
      </w:r>
      <w:r w:rsidR="00976AD5" w:rsidRPr="00976AD5">
        <w:t xml:space="preserve">s modulus line) was recorded and identified as the initial yield. The </w:t>
      </w:r>
      <w:r w:rsidR="00976AD5">
        <w:t xml:space="preserve">peak strength and </w:t>
      </w:r>
      <w:r w:rsidR="00976AD5" w:rsidRPr="00976AD5">
        <w:t>initial yield</w:t>
      </w:r>
      <w:r w:rsidR="00976AD5">
        <w:t xml:space="preserve"> values for the </w:t>
      </w:r>
      <w:r w:rsidR="00976AD5" w:rsidRPr="00976AD5">
        <w:t xml:space="preserve">test specimens as a function of time </w:t>
      </w:r>
      <w:r w:rsidR="00976AD5">
        <w:t xml:space="preserve">are </w:t>
      </w:r>
      <w:r w:rsidR="00976AD5" w:rsidRPr="00976AD5">
        <w:t>shown in</w:t>
      </w:r>
      <w:r w:rsidR="00976AD5">
        <w:t xml:space="preserve"> Fig. 7</w:t>
      </w:r>
      <w:r w:rsidR="00976AD5" w:rsidRPr="00976AD5">
        <w:t>.</w:t>
      </w:r>
    </w:p>
    <w:p w14:paraId="669588E7" w14:textId="0F15CE3C" w:rsidR="00976AD5" w:rsidRDefault="00053456" w:rsidP="00976AD5">
      <w:r>
        <w:t>These data were</w:t>
      </w:r>
      <w:r w:rsidR="00976AD5">
        <w:t xml:space="preserve"> fitted with an exponential decay model (Eq. 1) where all regression coefficients are significant at p &lt; 0.0001 (the probability that any coefficient is not significant, i.e., equals zero, is 1x10</w:t>
      </w:r>
      <w:r w:rsidR="00976AD5" w:rsidRPr="00976AD5">
        <w:rPr>
          <w:vertAlign w:val="superscript"/>
        </w:rPr>
        <w:t>-4</w:t>
      </w:r>
      <w:r w:rsidR="00976AD5">
        <w:t xml:space="preserve">, or less). However, there is no significant strength gain after about </w:t>
      </w:r>
      <w:r w:rsidR="002B6BE1">
        <w:t>t=</w:t>
      </w:r>
      <w:r w:rsidR="00976AD5">
        <w:t>70 days for practical purposes.</w:t>
      </w:r>
    </w:p>
    <w:p w14:paraId="11B1F3FE" w14:textId="77777777" w:rsidR="00053456" w:rsidRPr="00A5077F" w:rsidRDefault="00976AD5" w:rsidP="00A5077F">
      <w:pPr>
        <w:jc w:val="center"/>
      </w:pPr>
      <w:r w:rsidRPr="00A5077F">
        <w:rPr>
          <w:i/>
        </w:rPr>
        <w:t>UCS (psi)=143.6342(1-e</w:t>
      </w:r>
      <w:r w:rsidRPr="00A5077F">
        <w:rPr>
          <w:i/>
          <w:vertAlign w:val="superscript"/>
        </w:rPr>
        <w:t xml:space="preserve"> (-0.1043·t)</w:t>
      </w:r>
      <w:r w:rsidRPr="00A5077F">
        <w:rPr>
          <w:i/>
        </w:rPr>
        <w:t>)</w:t>
      </w:r>
      <w:r w:rsidRPr="00A5077F">
        <w:t xml:space="preserve"> (Eq. 1)</w:t>
      </w:r>
    </w:p>
    <w:p w14:paraId="72EA043A" w14:textId="77777777" w:rsidR="00053456" w:rsidRDefault="00053456" w:rsidP="00053456">
      <w:r w:rsidRPr="00053456">
        <w:lastRenderedPageBreak/>
        <w:t>The specimens in the test program were also subjected to various times of submergence. The UCS test results suggest that the unconfined strength and its modulus are reduced by increasing the degree of saturation, but the effects are relatively minor (Seely, 2024).</w:t>
      </w:r>
    </w:p>
    <w:p w14:paraId="16B124AD" w14:textId="77777777" w:rsidR="00053456" w:rsidRPr="00976AD5" w:rsidRDefault="00053456" w:rsidP="00053456">
      <w:pPr>
        <w:pStyle w:val="Heading2"/>
      </w:pPr>
      <w:r>
        <w:t>Triaxial Compression Strength (</w:t>
      </w:r>
      <w:proofErr w:type="spellStart"/>
      <w:r>
        <w:t>CIDTx</w:t>
      </w:r>
      <w:proofErr w:type="spellEnd"/>
      <w:r>
        <w:t>)</w:t>
      </w:r>
    </w:p>
    <w:p w14:paraId="24D8C137" w14:textId="77777777" w:rsidR="00A5077F" w:rsidRDefault="00A5077F" w:rsidP="00A5077F">
      <w:r>
        <w:t>A</w:t>
      </w:r>
      <w:r w:rsidRPr="00A5077F">
        <w:t>dvantages of triaxial strength test</w:t>
      </w:r>
      <w:r>
        <w:t>ing over UCS testing</w:t>
      </w:r>
      <w:r w:rsidRPr="00A5077F">
        <w:t xml:space="preserve"> include allowance for back-pressure </w:t>
      </w:r>
      <w:proofErr w:type="gramStart"/>
      <w:r w:rsidRPr="00A5077F">
        <w:t>saturation</w:t>
      </w:r>
      <w:r>
        <w:t>,</w:t>
      </w:r>
      <w:r w:rsidRPr="00A5077F">
        <w:t xml:space="preserve">  consolidation</w:t>
      </w:r>
      <w:proofErr w:type="gramEnd"/>
      <w:r>
        <w:t xml:space="preserve"> and confinement</w:t>
      </w:r>
      <w:r w:rsidRPr="00A5077F">
        <w:t xml:space="preserve"> of the test specimen, and</w:t>
      </w:r>
      <w:r>
        <w:t xml:space="preserve"> shearing under</w:t>
      </w:r>
      <w:r w:rsidRPr="00A5077F">
        <w:t xml:space="preserve"> drained and undrained conditions.</w:t>
      </w:r>
      <w:r>
        <w:t xml:space="preserve"> Therefore, the </w:t>
      </w:r>
      <w:r w:rsidRPr="00A5077F">
        <w:t>consolidation</w:t>
      </w:r>
      <w:r>
        <w:t xml:space="preserve"> and loading of the specimens can more</w:t>
      </w:r>
      <w:r w:rsidRPr="00A5077F">
        <w:t xml:space="preserve"> closely replicate field conditions</w:t>
      </w:r>
      <w:r>
        <w:t>.</w:t>
      </w:r>
      <w:r w:rsidRPr="00A5077F">
        <w:t xml:space="preserve"> The equipment required to perform the tests is much less ubiquitous than the UCS test equipment but is relatively common in specialized geotechnical testing laboratories. Proper test performance requires more advanced training and time than the UCS test and, therefore, is more costly. </w:t>
      </w:r>
    </w:p>
    <w:p w14:paraId="2A790F95" w14:textId="77777777" w:rsidR="00A5077F" w:rsidRDefault="00A5077F" w:rsidP="00A5077F">
      <w:pPr>
        <w:rPr>
          <w:rFonts w:cs="Times New Roman"/>
          <w:szCs w:val="24"/>
        </w:rPr>
      </w:pPr>
      <w:r w:rsidRPr="00592AE0">
        <w:fldChar w:fldCharType="begin"/>
      </w:r>
      <w:r w:rsidRPr="00592AE0">
        <w:instrText xml:space="preserve"> ADDIN ZOTERO_ITEM CSL_CITATION {"citationID":"LnuYtPa5","properties":{"formattedCitation":"(Tiwari et al. 2017)","plainCitation":"(Tiwari et al. 2017)","dontUpdate":true,"noteIndex":0},"citationItems":[{"id":1318,"uris":["http://zotero.org/users/8398154/items/TEKUZEQ5"],"itemData":{"id":1318,"type":"article-journal","abstract":"Lightweight cellular concrete provides many advantages in geotechnical applications, however, its use has been limited because of a lack of understanding of its engineering properties. In this study, laboratory soil tests were conducted on lightweight cellular concrete having four different densities, and shear strength parameters, coefficients of permeability, and at-rest earth pressure coefficients were measured. Unconfined compressive strength and as undrained strength properties (total friction angle and cohesion intercept) of partially saturated materials were found to be dependent on the density of the lightweight cellular concrete specimen. However, the effective friction angle and cohesion intercept of the saturated materials were independent of the test unit weight over the range of stresses tested. The effective friction angle and cohesion values of the lightweight cellular concrete materials, determined from direct simple shear tests, were 35° and 36 kPa, respectively. Back-pressure saturated samples from isotropically consolidated drained and isotropically consolidated undrained triaxial tests yielded an effective friction angle of 34° and a cohesion intercept of 78 kPa, similar to the results obtained from the constant-volume direct simple shear tests. The at-rest earth pressure coefficient was found to range between 0.2 and 0.5, while Poisson’s ratio for these materials was observed to range between 0.20 and 0.30. Recommendations are made for appropriate geotechnical engineering properties for the use of lightweight cellular concrete materials in earthretaining structures. DOI: 10.1061/(ASCE)MT.1943-5533.0001885. This work is made available under the terms of the Creative Commons Attribution 4.0 International license, http://creativecommons.org/licenses/by/4.0/.","container-title":"Journal of Materials in Civil Engineering","DOI":"10.1061/(ASCE)MT.1943-5533.0001885","ISSN":"0899-1561, 1943-5533","issue":"7","journalAbbreviation":"J. Mater. Civ. Eng.","language":"en","page":"06017007","source":"DOI.org (Crossref)","title":"Mechanical Properties of Lightweight Cellular Concrete for Geotechnical Applications","volume":"29","author":[{"family":"Tiwari","given":"Binod"},{"family":"Ajmera","given":"Beena"},{"family":"Maw","given":"Ryan"},{"family":"Cole","given":"Ryan"},{"family":"Villegas","given":"Diego"},{"family":"Palmerson","given":"Peter"}],"issued":{"date-parts":[["2017",7]]}}}],"schema":"https://github.com/citation-style-language/schema/raw/master/csl-citation.json"} </w:instrText>
      </w:r>
      <w:r w:rsidRPr="00592AE0">
        <w:fldChar w:fldCharType="separate"/>
      </w:r>
      <w:r w:rsidRPr="00592AE0">
        <w:rPr>
          <w:rFonts w:cs="Times New Roman"/>
        </w:rPr>
        <w:t>Tiwari et al. (2017)</w:t>
      </w:r>
      <w:r w:rsidRPr="00592AE0">
        <w:fldChar w:fldCharType="end"/>
      </w:r>
      <w:r w:rsidRPr="00592AE0">
        <w:t xml:space="preserve"> have suggested a conservative value for the effective friction angle of 35</w:t>
      </w:r>
      <w:r w:rsidRPr="00592AE0">
        <w:rPr>
          <w:rFonts w:cs="Times New Roman"/>
          <w:szCs w:val="24"/>
        </w:rPr>
        <w:t>° be used for saturated design purposes. The authors have also reported that the partially saturated friction angle of 40° was obtained through direct shear testing</w:t>
      </w:r>
      <w:r>
        <w:rPr>
          <w:rFonts w:cs="Times New Roman"/>
          <w:szCs w:val="24"/>
        </w:rPr>
        <w:t>,</w:t>
      </w:r>
      <w:r w:rsidRPr="00592AE0">
        <w:rPr>
          <w:rFonts w:cs="Times New Roman"/>
          <w:szCs w:val="24"/>
        </w:rPr>
        <w:t xml:space="preserve"> but the degree of saturation for this test is unknown. The authors suggest that the effective friction angle for design may be increased to 40° for Class-II or Class-IV LCC when subjected to normal stresses less than 1,000 kPa.</w:t>
      </w:r>
    </w:p>
    <w:p w14:paraId="5E496B07" w14:textId="77777777" w:rsidR="00705E4F" w:rsidRDefault="00705E4F" w:rsidP="00705E4F">
      <w:pPr>
        <w:pStyle w:val="Heading2"/>
      </w:pPr>
      <w:r>
        <w:t>Resilient Modulus</w:t>
      </w:r>
    </w:p>
    <w:p w14:paraId="419BD245" w14:textId="77777777" w:rsidR="00370D62" w:rsidRPr="00370D62" w:rsidRDefault="00370D62" w:rsidP="00370D62">
      <w:pPr>
        <w:pStyle w:val="Heading2"/>
      </w:pPr>
      <w:r>
        <w:t>Freeze-Thaw</w:t>
      </w:r>
    </w:p>
    <w:p w14:paraId="11DE7C08" w14:textId="77777777" w:rsidR="00370D62" w:rsidRDefault="00370D62" w:rsidP="00370D62">
      <w:r w:rsidRPr="00705E4F">
        <w:t>Compressive strength, depth of initial penetration, absorption</w:t>
      </w:r>
      <w:r>
        <w:t>,</w:t>
      </w:r>
      <w:r w:rsidRPr="00705E4F">
        <w:t xml:space="preserve"> and absorption rate are the important variables in producing cellular concrete that is resistant to cycles of freezing and thawing</w:t>
      </w:r>
      <w:r w:rsidR="00863CC1">
        <w:t>.</w:t>
      </w:r>
    </w:p>
    <w:p w14:paraId="1F490604" w14:textId="77777777" w:rsidR="00705E4F" w:rsidRDefault="006002CD" w:rsidP="00705E4F">
      <w:r>
        <w:rPr>
          <w:noProof/>
        </w:rPr>
        <w:drawing>
          <wp:inline distT="0" distB="0" distL="0" distR="0" wp14:anchorId="0F951AA7" wp14:editId="662C404C">
            <wp:extent cx="3876675" cy="3543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6675" cy="3543300"/>
                    </a:xfrm>
                    <a:prstGeom prst="rect">
                      <a:avLst/>
                    </a:prstGeom>
                  </pic:spPr>
                </pic:pic>
              </a:graphicData>
            </a:graphic>
          </wp:inline>
        </w:drawing>
      </w:r>
    </w:p>
    <w:p w14:paraId="4F788964" w14:textId="77777777" w:rsidR="005A5A32" w:rsidRDefault="005A5A32" w:rsidP="00705E4F">
      <w:r>
        <w:t>From Ni</w:t>
      </w:r>
    </w:p>
    <w:p w14:paraId="5E3B952C" w14:textId="77777777" w:rsidR="005A5A32" w:rsidRPr="00DE5A00" w:rsidRDefault="005A5A32" w:rsidP="00705E4F">
      <w:r>
        <w:lastRenderedPageBreak/>
        <w:t>Fatigue</w:t>
      </w:r>
    </w:p>
    <w:p w14:paraId="2ED69CA4" w14:textId="77777777" w:rsidR="00513DAC" w:rsidRDefault="00513DAC" w:rsidP="00513DAC">
      <w:r>
        <w:t>6. Applications</w:t>
      </w:r>
    </w:p>
    <w:p w14:paraId="7A440961" w14:textId="77777777" w:rsidR="00513DAC" w:rsidRDefault="00513DAC" w:rsidP="00513DAC">
      <w:r>
        <w:rPr>
          <w:noProof/>
        </w:rPr>
        <w:drawing>
          <wp:inline distT="0" distB="0" distL="0" distR="0" wp14:anchorId="4AAB9653" wp14:editId="33B2CB84">
            <wp:extent cx="5943600" cy="1718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18945"/>
                    </a:xfrm>
                    <a:prstGeom prst="rect">
                      <a:avLst/>
                    </a:prstGeom>
                  </pic:spPr>
                </pic:pic>
              </a:graphicData>
            </a:graphic>
          </wp:inline>
        </w:drawing>
      </w:r>
    </w:p>
    <w:p w14:paraId="1F28CB39" w14:textId="77777777" w:rsidR="00513DAC" w:rsidRDefault="00513DAC" w:rsidP="00963FDC">
      <w:pPr>
        <w:pStyle w:val="ListParagraph"/>
        <w:numPr>
          <w:ilvl w:val="0"/>
          <w:numId w:val="28"/>
        </w:numPr>
      </w:pPr>
      <w:r>
        <w:t xml:space="preserve">Use PLCC when weight reduction is needed (e.g., bridge abutments, green roofs, erosion </w:t>
      </w:r>
      <w:r>
        <w:rPr>
          <w:noProof/>
        </w:rPr>
        <w:drawing>
          <wp:inline distT="0" distB="0" distL="0" distR="0" wp14:anchorId="6D3646DD" wp14:editId="56498A2A">
            <wp:extent cx="5943600" cy="1929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929130"/>
                    </a:xfrm>
                    <a:prstGeom prst="rect">
                      <a:avLst/>
                    </a:prstGeom>
                  </pic:spPr>
                </pic:pic>
              </a:graphicData>
            </a:graphic>
          </wp:inline>
        </w:drawing>
      </w:r>
    </w:p>
    <w:p w14:paraId="7B08FC48" w14:textId="77777777" w:rsidR="00513DAC" w:rsidRDefault="00513DAC" w:rsidP="00513DAC">
      <w:r>
        <w:t>Both materials are valuable for sustainable construction, but their use depends on structural needs, load requirements, and permeability goals. Would you like assistance with a specific project or design?</w:t>
      </w:r>
    </w:p>
    <w:p w14:paraId="22C3474D" w14:textId="77777777" w:rsidR="00513DAC" w:rsidRPr="00513DAC" w:rsidRDefault="00513DAC" w:rsidP="00513DAC"/>
    <w:p w14:paraId="3893133D" w14:textId="77777777" w:rsidR="00DE5A00" w:rsidRDefault="00DE5A00" w:rsidP="00DE5A00">
      <w:pPr>
        <w:rPr>
          <w:i/>
        </w:rPr>
      </w:pPr>
    </w:p>
    <w:p w14:paraId="7D55E2D3" w14:textId="77777777" w:rsidR="00705E4F" w:rsidRDefault="00705E4F">
      <w:pPr>
        <w:rPr>
          <w:b/>
          <w:u w:val="single"/>
        </w:rPr>
      </w:pPr>
      <w:r>
        <w:br w:type="page"/>
      </w:r>
    </w:p>
    <w:p w14:paraId="62EBA66C" w14:textId="77777777" w:rsidR="00DE5A00" w:rsidRDefault="00150AF4" w:rsidP="00150AF4">
      <w:pPr>
        <w:pStyle w:val="Heading1"/>
      </w:pPr>
      <w:r>
        <w:lastRenderedPageBreak/>
        <w:t>References</w:t>
      </w:r>
    </w:p>
    <w:p w14:paraId="055C5B20" w14:textId="77777777" w:rsidR="00705E4F" w:rsidRDefault="00705E4F" w:rsidP="00705E4F">
      <w:r>
        <w:t xml:space="preserve">Alimohammadi V., </w:t>
      </w:r>
      <w:proofErr w:type="spellStart"/>
      <w:r>
        <w:t>Maghfour</w:t>
      </w:r>
      <w:proofErr w:type="spellEnd"/>
      <w:r>
        <w:t xml:space="preserve"> M., </w:t>
      </w:r>
      <w:proofErr w:type="spellStart"/>
      <w:r>
        <w:t>Nourmohammadi</w:t>
      </w:r>
      <w:proofErr w:type="spellEnd"/>
      <w:r>
        <w:t xml:space="preserve"> D., </w:t>
      </w:r>
      <w:proofErr w:type="spellStart"/>
      <w:r>
        <w:t>Azarsa</w:t>
      </w:r>
      <w:proofErr w:type="spellEnd"/>
      <w:r>
        <w:t xml:space="preserve"> P.  Gupta R., </w:t>
      </w:r>
      <w:proofErr w:type="spellStart"/>
      <w:r>
        <w:t>Saberian</w:t>
      </w:r>
      <w:proofErr w:type="spellEnd"/>
      <w:r>
        <w:t xml:space="preserve"> M. 2021. Stormwater Runoff Treatment Using Pervious Concrete Modified with Various Nanomaterials: A Comprehensive Review, Sustainability 2021, 13(15), 8552; https://doi.org/10.3390/su13158552.</w:t>
      </w:r>
    </w:p>
    <w:p w14:paraId="43207E97" w14:textId="77777777" w:rsidR="00150AF4" w:rsidRDefault="00150AF4" w:rsidP="00150AF4">
      <w:r>
        <w:t xml:space="preserve">American Concrete Institute (ACI), Guide for Cast-in-Place Low-Density Cellular Concrete, </w:t>
      </w:r>
      <w:r w:rsidR="00184B70">
        <w:t xml:space="preserve">2006. </w:t>
      </w:r>
      <w:r>
        <w:t>ACI 523.1R-06.</w:t>
      </w:r>
    </w:p>
    <w:p w14:paraId="50A547E3" w14:textId="77777777" w:rsidR="00370D62" w:rsidRDefault="00370D62" w:rsidP="00370D62">
      <w:r>
        <w:t xml:space="preserve">Amran M., </w:t>
      </w:r>
      <w:proofErr w:type="spellStart"/>
      <w:r>
        <w:t>Onaizi</w:t>
      </w:r>
      <w:proofErr w:type="spellEnd"/>
      <w:r>
        <w:t xml:space="preserve"> A. M., </w:t>
      </w:r>
      <w:proofErr w:type="spellStart"/>
      <w:r>
        <w:t>Fediuk</w:t>
      </w:r>
      <w:proofErr w:type="spellEnd"/>
      <w:r>
        <w:t xml:space="preserve"> R., Danish A., Vatin N. I., Murali G., Abdelgader H.S., Mosaberpanah M.A., Cecchin D., Azevedo A. 2022. An Ultra-Lightweight Cellular Concrete for Geotechnical Applications - A Review, Case Studies in Construction Materials, Volume 16.</w:t>
      </w:r>
    </w:p>
    <w:p w14:paraId="6FC3B1EB" w14:textId="77777777" w:rsidR="00A222E7" w:rsidRDefault="00A222E7" w:rsidP="00A222E7">
      <w:r>
        <w:t xml:space="preserve">Amran, Y. H. M., N. </w:t>
      </w:r>
      <w:proofErr w:type="spellStart"/>
      <w:r>
        <w:t>Farzadnia</w:t>
      </w:r>
      <w:proofErr w:type="spellEnd"/>
      <w:r>
        <w:t>, and A. A. Abang Ali. 2015. "Properties and applications of foamed concrete; a review." Construction and Building Materials, 101: 990–1005. https://doi.org/10.1016/j.conbuildmat.2015.10.112.</w:t>
      </w:r>
    </w:p>
    <w:p w14:paraId="418D7823" w14:textId="77777777" w:rsidR="00705E4F" w:rsidRDefault="00705E4F" w:rsidP="00705E4F">
      <w:r>
        <w:t xml:space="preserve">Anderson J., Bartlett, S. F., Dickerson N., and </w:t>
      </w:r>
      <w:proofErr w:type="spellStart"/>
      <w:r>
        <w:t>Poepsel</w:t>
      </w:r>
      <w:proofErr w:type="spellEnd"/>
      <w:r>
        <w:t xml:space="preserve"> P., 2012, Development of Seismic Design Approach for Freestanding Freight Railroad Embankment Comprised of Lightweight Cellular Concrete, ASCE </w:t>
      </w:r>
      <w:proofErr w:type="spellStart"/>
      <w:r>
        <w:t>GeoCongress</w:t>
      </w:r>
      <w:proofErr w:type="spellEnd"/>
      <w:r>
        <w:t xml:space="preserve"> 2012: State of the Art and Practice in Geotechnical Engineering </w:t>
      </w:r>
      <w:hyperlink r:id="rId19" w:history="1">
        <w:r w:rsidR="00370D62" w:rsidRPr="00182E49">
          <w:rPr>
            <w:rStyle w:val="Hyperlink"/>
          </w:rPr>
          <w:t>https://doi.org/10.1061/9780784412121.177</w:t>
        </w:r>
      </w:hyperlink>
      <w:r w:rsidR="00370D62">
        <w:t>.</w:t>
      </w:r>
    </w:p>
    <w:p w14:paraId="6B46A29D" w14:textId="77777777" w:rsidR="00A222E7" w:rsidRDefault="00A222E7" w:rsidP="00A222E7">
      <w:r>
        <w:t>Armaghani, J.,2011. Structural Evaluation of Pervious Concrete on Cellular Lightweight Concrete (CLPC) Base, Global Sustainable Solutions, 27 p.</w:t>
      </w:r>
    </w:p>
    <w:p w14:paraId="0FD96151" w14:textId="77777777" w:rsidR="00855855" w:rsidRDefault="00855855" w:rsidP="00855855">
      <w:r>
        <w:t xml:space="preserve">ASTM D3385-18 Standard Test Method for Infiltration Rate of Soils in Field Using Double-Ring Infiltrometer. </w:t>
      </w:r>
      <w:r w:rsidRPr="005A450A">
        <w:t>ASTM International.</w:t>
      </w:r>
    </w:p>
    <w:p w14:paraId="217712B4" w14:textId="77777777" w:rsidR="005A5A32" w:rsidRDefault="005A5A32" w:rsidP="00A222E7">
      <w:r>
        <w:t xml:space="preserve">ASTM </w:t>
      </w:r>
      <w:r w:rsidRPr="005A5A32">
        <w:t>D2434</w:t>
      </w:r>
      <w:r w:rsidR="00855855">
        <w:t>-</w:t>
      </w:r>
      <w:r>
        <w:t xml:space="preserve">19. </w:t>
      </w:r>
      <w:r w:rsidRPr="005A5A32">
        <w:t>Standard Test Method for Permeability of Granular Soils (Constant Head)</w:t>
      </w:r>
      <w:r>
        <w:t xml:space="preserve">. </w:t>
      </w:r>
      <w:r w:rsidRPr="005A450A">
        <w:t>ASTM International.</w:t>
      </w:r>
    </w:p>
    <w:p w14:paraId="701558A8" w14:textId="77777777" w:rsidR="005A450A" w:rsidRDefault="005A450A" w:rsidP="00150AF4">
      <w:r w:rsidRPr="005A450A">
        <w:t>ASTM D18 Committee. 2016</w:t>
      </w:r>
      <w:r>
        <w:t>.</w:t>
      </w:r>
      <w:r w:rsidRPr="005A450A">
        <w:t xml:space="preserve"> D5084-16a Test Methods for Measurement of Hydraulic Conductivity of Saturated Porous Materials Using a Flexible Wall Permeameter. ASTM International.</w:t>
      </w:r>
    </w:p>
    <w:p w14:paraId="7DF719FE" w14:textId="77777777" w:rsidR="00A222E7" w:rsidRDefault="00A222E7" w:rsidP="005B09E5">
      <w:r>
        <w:t>Averyanov S. 2018. Analysis of construction experience of using lightweight cellular concrete as a subbase material. Thesis. University of Waterloo, 94 p.</w:t>
      </w:r>
    </w:p>
    <w:p w14:paraId="0BAD13F2" w14:textId="77777777" w:rsidR="005B09E5" w:rsidRDefault="005B09E5" w:rsidP="005B09E5">
      <w:r>
        <w:t xml:space="preserve">Bartlett, S. F., Peters, S. Arulmoli, A., </w:t>
      </w:r>
      <w:r w:rsidR="00184B70">
        <w:t>2020</w:t>
      </w:r>
      <w:r w:rsidR="005A5A32">
        <w:t>a</w:t>
      </w:r>
      <w:r w:rsidR="00184B70">
        <w:t xml:space="preserve">. </w:t>
      </w:r>
      <w:r>
        <w:t>Mission Rock Lightweight Cellular Concrete Technical Advisory Panel</w:t>
      </w:r>
      <w:r w:rsidR="005A5A32">
        <w:t xml:space="preserve"> (TAP)</w:t>
      </w:r>
      <w:r>
        <w:t xml:space="preserve"> Technical Review Report (Addendum) Vol. 1 – Main TAP Report, 120 p.</w:t>
      </w:r>
    </w:p>
    <w:p w14:paraId="09E2E955" w14:textId="77777777" w:rsidR="005A5A32" w:rsidRDefault="005A5A32" w:rsidP="005B09E5">
      <w:r>
        <w:t>Bartlett, S. F., Peters, S. Arulmoli, A., 2020b. Response to Comments and Questions Memo, dated June 25, 2020, on the Mission Rock LCC Technical Advisory Panel Review Report. Attachment 1.</w:t>
      </w:r>
    </w:p>
    <w:p w14:paraId="611E211E" w14:textId="77777777" w:rsidR="005B09E5" w:rsidRDefault="005B09E5" w:rsidP="005B09E5">
      <w:r>
        <w:t>Bartlett, S. F., Camargo-</w:t>
      </w:r>
      <w:proofErr w:type="spellStart"/>
      <w:r>
        <w:t>Gontscharow</w:t>
      </w:r>
      <w:proofErr w:type="spellEnd"/>
      <w:r>
        <w:t xml:space="preserve">, T., Huang Y., </w:t>
      </w:r>
      <w:r w:rsidR="00184B70">
        <w:t xml:space="preserve">2024. </w:t>
      </w:r>
      <w:r>
        <w:t>Development of a Stormwater Detention/Infiltration System for Urban Highways Using Permeable Lightweight Cellular Concrete, Phase I, Technical Report for Project ID: 2021-UU-01, National Center for Transportation Infrastructure Durability &amp; Life-Extension,</w:t>
      </w:r>
      <w:r w:rsidR="00184B70">
        <w:t xml:space="preserve"> </w:t>
      </w:r>
      <w:r>
        <w:t>175 p.</w:t>
      </w:r>
    </w:p>
    <w:p w14:paraId="5BE9616D" w14:textId="77777777" w:rsidR="005B09E5" w:rsidRDefault="005B09E5" w:rsidP="005B09E5">
      <w:r>
        <w:t>Inti, S., Evans, T. W., Flores, M., Solanki, J.S., Chandramouli, C. V., 2021</w:t>
      </w:r>
      <w:r w:rsidR="00184B70">
        <w:t>.</w:t>
      </w:r>
      <w:r>
        <w:t xml:space="preserve"> Permeable Low-Density Cellular Concrete (PLDCC) as a Replacement for Aggregate Layers in Permeable Parking Lots, Development in the Built Environment, 2021</w:t>
      </w:r>
      <w:r w:rsidR="00184B70">
        <w:t>.</w:t>
      </w:r>
    </w:p>
    <w:p w14:paraId="234B7129" w14:textId="77777777" w:rsidR="00184B70" w:rsidRDefault="00184B70" w:rsidP="005B09E5">
      <w:r w:rsidRPr="00184B70">
        <w:lastRenderedPageBreak/>
        <w:t xml:space="preserve">Kozłowski, M., and M. Kadela. 2018. </w:t>
      </w:r>
      <w:r w:rsidR="003A64FB">
        <w:t>"</w:t>
      </w:r>
      <w:r w:rsidRPr="00184B70">
        <w:t>Mechanical characterization of lightweight foamed concrete.</w:t>
      </w:r>
      <w:r w:rsidR="003A64FB">
        <w:t>"</w:t>
      </w:r>
      <w:r w:rsidRPr="00184B70">
        <w:t xml:space="preserve"> Advances in Materials Science and Engineering, 2018: 1–8. </w:t>
      </w:r>
      <w:hyperlink r:id="rId20" w:history="1">
        <w:r w:rsidR="00705E4F" w:rsidRPr="00182E49">
          <w:rPr>
            <w:rStyle w:val="Hyperlink"/>
          </w:rPr>
          <w:t>https://doi.org/10.1155/2018/6801258</w:t>
        </w:r>
      </w:hyperlink>
      <w:r w:rsidRPr="00184B70">
        <w:t>.</w:t>
      </w:r>
    </w:p>
    <w:p w14:paraId="2040EE37" w14:textId="77777777" w:rsidR="00705E4F" w:rsidRDefault="00705E4F" w:rsidP="00705E4F">
      <w:proofErr w:type="spellStart"/>
      <w:r>
        <w:t>Martemianov</w:t>
      </w:r>
      <w:proofErr w:type="spellEnd"/>
      <w:r>
        <w:t xml:space="preserve"> D., Xie B.-B., </w:t>
      </w:r>
      <w:proofErr w:type="spellStart"/>
      <w:r>
        <w:t>Yurmazova</w:t>
      </w:r>
      <w:proofErr w:type="spellEnd"/>
      <w:r>
        <w:t xml:space="preserve"> T., Khaskelberg M., Wang F., We C.-H. i, Preis S. 2017. Cellular concrete-supported cost-effective adsorbents for aqueous arsenic and heavy metals abatement, Journal of Environmental Chemical Engineering, Volume 5, Issue 4, 2017, Pages 3930-3941, ISSN 2213-3437, </w:t>
      </w:r>
      <w:hyperlink r:id="rId21" w:history="1">
        <w:r w:rsidR="007C40E4" w:rsidRPr="00E615E9">
          <w:rPr>
            <w:rStyle w:val="Hyperlink"/>
          </w:rPr>
          <w:t>https://doi.org/10.1016/j.jece.2017.07.063</w:t>
        </w:r>
      </w:hyperlink>
      <w:r>
        <w:t>.</w:t>
      </w:r>
    </w:p>
    <w:p w14:paraId="75FF6FEC" w14:textId="77777777" w:rsidR="007C40E4" w:rsidRDefault="007C40E4" w:rsidP="005B09E5">
      <w:r>
        <w:t xml:space="preserve">Masloff B. and </w:t>
      </w:r>
      <w:r w:rsidRPr="007C40E4">
        <w:t>Palladino</w:t>
      </w:r>
      <w:r>
        <w:t xml:space="preserve"> R. 2012. Lightweight Drainable Cellular Concrete. </w:t>
      </w:r>
      <w:r w:rsidRPr="007C40E4">
        <w:t>Patent No.</w:t>
      </w:r>
      <w:r>
        <w:t xml:space="preserve"> U</w:t>
      </w:r>
      <w:r w:rsidRPr="007C40E4">
        <w:t>S 8,172,937 B2</w:t>
      </w:r>
      <w:r>
        <w:t>.</w:t>
      </w:r>
    </w:p>
    <w:p w14:paraId="6375968F" w14:textId="77777777" w:rsidR="00705E4F" w:rsidRDefault="00705E4F" w:rsidP="005B09E5">
      <w:r>
        <w:t>Masloff, B., Feller, J. and Gomez, M., 2022. Low Buoyancy Cellular Concrete, U.S. Patent Application Publication US2022/0048817. Feb. 17, 2022.</w:t>
      </w:r>
    </w:p>
    <w:p w14:paraId="311DE675" w14:textId="77777777" w:rsidR="00184B70" w:rsidRDefault="00184B70" w:rsidP="005B09E5">
      <w:r w:rsidRPr="00184B70">
        <w:t xml:space="preserve">Narayanan, N., and K. Ramamurthy. 2000. Structure and properties of aerated concrete: a review. Cement and Concrete Composites, 22 (5): 321–329. </w:t>
      </w:r>
      <w:hyperlink r:id="rId22" w:history="1">
        <w:r w:rsidR="00370D62" w:rsidRPr="00182E49">
          <w:rPr>
            <w:rStyle w:val="Hyperlink"/>
          </w:rPr>
          <w:t>https://doi.org/10.1016/S0958-9465(00)00016-0</w:t>
        </w:r>
      </w:hyperlink>
      <w:r w:rsidRPr="00184B70">
        <w:t>.</w:t>
      </w:r>
    </w:p>
    <w:p w14:paraId="631EEFAB" w14:textId="77777777" w:rsidR="00370D62" w:rsidRDefault="00370D62" w:rsidP="00370D62">
      <w:r>
        <w:t>Panesar</w:t>
      </w:r>
      <w:r w:rsidR="003A64FB">
        <w:t>, D. K</w:t>
      </w:r>
      <w:r>
        <w:t xml:space="preserve">. 2013. Cellular concrete properties and the effect of synthetic and protein foaming agents, Constr. Build. Mater. </w:t>
      </w:r>
      <w:hyperlink r:id="rId23" w:history="1">
        <w:r w:rsidR="003A64FB" w:rsidRPr="00C11431">
          <w:rPr>
            <w:rStyle w:val="Hyperlink"/>
          </w:rPr>
          <w:t>https://doi.org/10.1016/j</w:t>
        </w:r>
      </w:hyperlink>
      <w:r>
        <w:t>.</w:t>
      </w:r>
      <w:r w:rsidR="003A64FB">
        <w:t xml:space="preserve"> </w:t>
      </w:r>
      <w:r>
        <w:t>conbuildmat.2013.03.024.</w:t>
      </w:r>
    </w:p>
    <w:p w14:paraId="34DD52CE" w14:textId="77777777" w:rsidR="005B09E5" w:rsidRDefault="005B09E5" w:rsidP="005B09E5">
      <w:r>
        <w:t xml:space="preserve">Seely, D.D.B., </w:t>
      </w:r>
      <w:r w:rsidR="005A450A">
        <w:t xml:space="preserve">2024. </w:t>
      </w:r>
      <w:r>
        <w:t>Engineering Behavior of Type I Lightweight Cellular Concrete and the Effects of Partial Saturation and Confinement, Dissertation, Dept. of Civil and Environmental Engineering, University of Utah,</w:t>
      </w:r>
      <w:r w:rsidR="00184B70">
        <w:t xml:space="preserve"> 201 </w:t>
      </w:r>
      <w:r>
        <w:t>p.</w:t>
      </w:r>
    </w:p>
    <w:p w14:paraId="29BE80F4" w14:textId="77777777" w:rsidR="00705E4F" w:rsidRDefault="00705E4F" w:rsidP="00705E4F">
      <w:r w:rsidRPr="00705E4F">
        <w:t>Sutmoller</w:t>
      </w:r>
      <w:r>
        <w:t xml:space="preserve"> N., </w:t>
      </w:r>
      <w:r w:rsidRPr="00705E4F">
        <w:t>Gome</w:t>
      </w:r>
      <w:r>
        <w:t>z M.</w:t>
      </w:r>
      <w:r w:rsidRPr="00705E4F">
        <w:t>, and Kevern J</w:t>
      </w:r>
      <w:r>
        <w:t xml:space="preserve">. 2019. Soft Soil Remediation with Permeable Low-Density Cellular Concrete (PLDCC), </w:t>
      </w:r>
      <w:r w:rsidRPr="00705E4F">
        <w:t>MATEC Web of Conferences 271, 02002</w:t>
      </w:r>
      <w:r>
        <w:t xml:space="preserve"> (2019), </w:t>
      </w:r>
      <w:r w:rsidRPr="00705E4F">
        <w:t>Tran-SET 2019</w:t>
      </w:r>
      <w:r>
        <w:t xml:space="preserve">,  </w:t>
      </w:r>
      <w:hyperlink r:id="rId24" w:history="1">
        <w:r w:rsidR="003A64FB" w:rsidRPr="00C11431">
          <w:rPr>
            <w:rStyle w:val="Hyperlink"/>
          </w:rPr>
          <w:t>https://doi.org/10.1051/matecconf/201927102002</w:t>
        </w:r>
      </w:hyperlink>
      <w:r>
        <w:t>.</w:t>
      </w:r>
    </w:p>
    <w:p w14:paraId="0C65DB7F" w14:textId="77777777" w:rsidR="003A64FB" w:rsidRDefault="003A64FB" w:rsidP="003A64FB">
      <w:r>
        <w:t>Sutmoller N., and Gomez M. 2022. An Introduction to Low-Density Cellular Concrete and Advanced Engineered Foam Technology - NAT2022. Society for Mining, Metallurgy &amp; Exploration, 2022.</w:t>
      </w:r>
    </w:p>
    <w:p w14:paraId="3AA25C39" w14:textId="77777777" w:rsidR="00150AF4" w:rsidRDefault="00150AF4" w:rsidP="00705E4F">
      <w:r>
        <w:t>Taylor S., and Halsted G., Guide to Lightweight Cellular Concrete for Geotechnical Applications,</w:t>
      </w:r>
      <w:r w:rsidR="00184B70">
        <w:t xml:space="preserve"> 2021.</w:t>
      </w:r>
      <w:r>
        <w:t xml:space="preserve"> PCA Special Report SR1008P, National Concrete Pavement Technology Center, 58 p.</w:t>
      </w:r>
    </w:p>
    <w:p w14:paraId="01B8BC52" w14:textId="77777777" w:rsidR="00A222E7" w:rsidRDefault="00A222E7" w:rsidP="00A222E7">
      <w:r w:rsidRPr="00A222E7">
        <w:t>Tikalsky</w:t>
      </w:r>
      <w:r>
        <w:t xml:space="preserve"> P.J.,</w:t>
      </w:r>
      <w:r w:rsidRPr="00A222E7">
        <w:t xml:space="preserve"> Pospisil</w:t>
      </w:r>
      <w:r>
        <w:t xml:space="preserve"> J.,</w:t>
      </w:r>
      <w:r w:rsidRPr="00A222E7">
        <w:t xml:space="preserve"> MacDonald</w:t>
      </w:r>
      <w:r>
        <w:t xml:space="preserve"> W. 2004.</w:t>
      </w:r>
      <w:r w:rsidRPr="00A222E7">
        <w:t xml:space="preserve"> </w:t>
      </w:r>
      <w:r>
        <w:t>A method for assessment of the freeze–thaw resistance of preformed foam cellular concrete.</w:t>
      </w:r>
      <w:r w:rsidRPr="00A222E7">
        <w:t xml:space="preserve"> Cement and Concrete Research 34 (2004) 889–893</w:t>
      </w:r>
    </w:p>
    <w:p w14:paraId="271D3F73" w14:textId="77777777" w:rsidR="00150AF4" w:rsidRDefault="00150AF4" w:rsidP="00150AF4">
      <w:r>
        <w:t xml:space="preserve">Tiwari B., Ajmera B., Maw R., Cole R., Villegas, D. and </w:t>
      </w:r>
      <w:proofErr w:type="spellStart"/>
      <w:r>
        <w:t>Palmerson</w:t>
      </w:r>
      <w:proofErr w:type="spellEnd"/>
      <w:r>
        <w:t>, P.</w:t>
      </w:r>
      <w:r w:rsidR="00184B70">
        <w:t>,</w:t>
      </w:r>
      <w:r>
        <w:t xml:space="preserve"> 2017. Mechanical Properties of Lightweight Cellular Concrete for Geotechnical Applications, J. of Mater. Civ. Eng. 2017, 29(7); 06017007.</w:t>
      </w:r>
    </w:p>
    <w:p w14:paraId="2817F852" w14:textId="77777777" w:rsidR="00150AF4" w:rsidRDefault="00150AF4" w:rsidP="00150AF4">
      <w:r>
        <w:t xml:space="preserve">Tiwari, B., Wykoff, J., and Villegas, D., </w:t>
      </w:r>
      <w:r w:rsidR="00184B70">
        <w:t xml:space="preserve">2020. </w:t>
      </w:r>
      <w:r>
        <w:t>Review of State of Practice – Use of Lightweight Cellular Concrete (LCC) Materials in Geotechnical Applications, California Nevada Cement Association, 68 p.</w:t>
      </w:r>
    </w:p>
    <w:p w14:paraId="3A9E2E97" w14:textId="77777777" w:rsidR="00370D62" w:rsidRDefault="00370D62" w:rsidP="00370D62">
      <w:r>
        <w:t>U.S. Environmental Protection Agency. 2012. "Cool Pavements." In: Reducing Urban Heat Islands: Compendium of Strategies. Draft. https://w—ww.epa.gov/heat-islands/heat-island-compendium.</w:t>
      </w:r>
    </w:p>
    <w:p w14:paraId="616E37A9" w14:textId="77777777" w:rsidR="00370D62" w:rsidRDefault="00370D62" w:rsidP="00150AF4"/>
    <w:p w14:paraId="5C5A424F" w14:textId="77777777" w:rsidR="00705E4F" w:rsidRDefault="00705E4F" w:rsidP="00150AF4"/>
    <w:sectPr w:rsidR="00705E4F">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67AB2" w14:textId="77777777" w:rsidR="008F38B5" w:rsidRDefault="008F38B5" w:rsidP="001C74FD">
      <w:pPr>
        <w:spacing w:after="0" w:line="240" w:lineRule="auto"/>
      </w:pPr>
      <w:r>
        <w:separator/>
      </w:r>
    </w:p>
  </w:endnote>
  <w:endnote w:type="continuationSeparator" w:id="0">
    <w:p w14:paraId="51A732B6" w14:textId="77777777" w:rsidR="008F38B5" w:rsidRDefault="008F38B5" w:rsidP="001C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3D6C" w14:textId="77777777" w:rsidR="00AA6CD7" w:rsidRDefault="00AA6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1FEFF" w14:textId="77777777" w:rsidR="00AA6CD7" w:rsidRDefault="00AA6C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96C7" w14:textId="77777777" w:rsidR="00AA6CD7" w:rsidRDefault="00AA6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3285D" w14:textId="77777777" w:rsidR="008F38B5" w:rsidRDefault="008F38B5" w:rsidP="001C74FD">
      <w:pPr>
        <w:spacing w:after="0" w:line="240" w:lineRule="auto"/>
      </w:pPr>
      <w:r>
        <w:separator/>
      </w:r>
    </w:p>
  </w:footnote>
  <w:footnote w:type="continuationSeparator" w:id="0">
    <w:p w14:paraId="6E19F466" w14:textId="77777777" w:rsidR="008F38B5" w:rsidRDefault="008F38B5" w:rsidP="001C7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C9EB" w14:textId="77777777" w:rsidR="00AA6CD7" w:rsidRDefault="00AA6C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CE58" w14:textId="77777777" w:rsidR="00AA6CD7" w:rsidRDefault="00AA6C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4B78" w14:textId="77777777" w:rsidR="00AA6CD7" w:rsidRDefault="00AA6C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31BF"/>
    <w:multiLevelType w:val="hybridMultilevel"/>
    <w:tmpl w:val="A380D3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D0119"/>
    <w:multiLevelType w:val="hybridMultilevel"/>
    <w:tmpl w:val="2478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C02A2"/>
    <w:multiLevelType w:val="hybridMultilevel"/>
    <w:tmpl w:val="53184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75DD4"/>
    <w:multiLevelType w:val="multilevel"/>
    <w:tmpl w:val="97F4F2C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8B83772"/>
    <w:multiLevelType w:val="hybridMultilevel"/>
    <w:tmpl w:val="EEB68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B7707"/>
    <w:multiLevelType w:val="hybridMultilevel"/>
    <w:tmpl w:val="219CD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44EC6"/>
    <w:multiLevelType w:val="multilevel"/>
    <w:tmpl w:val="A91E949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2FF4CA7"/>
    <w:multiLevelType w:val="hybridMultilevel"/>
    <w:tmpl w:val="F73A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D46DA"/>
    <w:multiLevelType w:val="multilevel"/>
    <w:tmpl w:val="D0B07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2041BF"/>
    <w:multiLevelType w:val="hybridMultilevel"/>
    <w:tmpl w:val="7F7E7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527EE"/>
    <w:multiLevelType w:val="hybridMultilevel"/>
    <w:tmpl w:val="13DC5B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373CF"/>
    <w:multiLevelType w:val="hybridMultilevel"/>
    <w:tmpl w:val="1CDC9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A7581A"/>
    <w:multiLevelType w:val="hybridMultilevel"/>
    <w:tmpl w:val="6AC0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60A20"/>
    <w:multiLevelType w:val="hybridMultilevel"/>
    <w:tmpl w:val="454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07C33"/>
    <w:multiLevelType w:val="hybridMultilevel"/>
    <w:tmpl w:val="07CA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C42FF6"/>
    <w:multiLevelType w:val="hybridMultilevel"/>
    <w:tmpl w:val="75E4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DF7B72"/>
    <w:multiLevelType w:val="hybridMultilevel"/>
    <w:tmpl w:val="4D181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D3357"/>
    <w:multiLevelType w:val="hybridMultilevel"/>
    <w:tmpl w:val="FF7AB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F0ADB"/>
    <w:multiLevelType w:val="hybridMultilevel"/>
    <w:tmpl w:val="8F2CF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3A3AF3"/>
    <w:multiLevelType w:val="hybridMultilevel"/>
    <w:tmpl w:val="6F2E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0D7913"/>
    <w:multiLevelType w:val="hybridMultilevel"/>
    <w:tmpl w:val="0A56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4C7FF8"/>
    <w:multiLevelType w:val="hybridMultilevel"/>
    <w:tmpl w:val="3F52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B7101C"/>
    <w:multiLevelType w:val="multilevel"/>
    <w:tmpl w:val="4A12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560DC"/>
    <w:multiLevelType w:val="hybridMultilevel"/>
    <w:tmpl w:val="37FC1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CE0F52"/>
    <w:multiLevelType w:val="multilevel"/>
    <w:tmpl w:val="0030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7D15F1"/>
    <w:multiLevelType w:val="multilevel"/>
    <w:tmpl w:val="2EC0C7B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75FE6A92"/>
    <w:multiLevelType w:val="hybridMultilevel"/>
    <w:tmpl w:val="A3BA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21433F"/>
    <w:multiLevelType w:val="hybridMultilevel"/>
    <w:tmpl w:val="0B704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D267A29"/>
    <w:multiLevelType w:val="hybridMultilevel"/>
    <w:tmpl w:val="9B54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9062577">
    <w:abstractNumId w:val="6"/>
  </w:num>
  <w:num w:numId="2" w16cid:durableId="1465658945">
    <w:abstractNumId w:val="22"/>
  </w:num>
  <w:num w:numId="3" w16cid:durableId="1287079610">
    <w:abstractNumId w:val="3"/>
  </w:num>
  <w:num w:numId="4" w16cid:durableId="2041005204">
    <w:abstractNumId w:val="25"/>
  </w:num>
  <w:num w:numId="5" w16cid:durableId="1918245515">
    <w:abstractNumId w:val="5"/>
  </w:num>
  <w:num w:numId="6" w16cid:durableId="40987262">
    <w:abstractNumId w:val="8"/>
  </w:num>
  <w:num w:numId="7" w16cid:durableId="791284610">
    <w:abstractNumId w:val="24"/>
  </w:num>
  <w:num w:numId="8" w16cid:durableId="621496421">
    <w:abstractNumId w:val="0"/>
  </w:num>
  <w:num w:numId="9" w16cid:durableId="11345827">
    <w:abstractNumId w:val="27"/>
  </w:num>
  <w:num w:numId="10" w16cid:durableId="395858803">
    <w:abstractNumId w:val="28"/>
  </w:num>
  <w:num w:numId="11" w16cid:durableId="1484735128">
    <w:abstractNumId w:val="19"/>
  </w:num>
  <w:num w:numId="12" w16cid:durableId="1342859429">
    <w:abstractNumId w:val="15"/>
  </w:num>
  <w:num w:numId="13" w16cid:durableId="660430499">
    <w:abstractNumId w:val="18"/>
  </w:num>
  <w:num w:numId="14" w16cid:durableId="1180395229">
    <w:abstractNumId w:val="10"/>
  </w:num>
  <w:num w:numId="15" w16cid:durableId="549879229">
    <w:abstractNumId w:val="13"/>
  </w:num>
  <w:num w:numId="16" w16cid:durableId="207761107">
    <w:abstractNumId w:val="12"/>
  </w:num>
  <w:num w:numId="17" w16cid:durableId="710346675">
    <w:abstractNumId w:val="16"/>
  </w:num>
  <w:num w:numId="18" w16cid:durableId="150289925">
    <w:abstractNumId w:val="4"/>
  </w:num>
  <w:num w:numId="19" w16cid:durableId="1120875458">
    <w:abstractNumId w:val="17"/>
  </w:num>
  <w:num w:numId="20" w16cid:durableId="296422300">
    <w:abstractNumId w:val="26"/>
  </w:num>
  <w:num w:numId="21" w16cid:durableId="817766730">
    <w:abstractNumId w:val="1"/>
  </w:num>
  <w:num w:numId="22" w16cid:durableId="1601596143">
    <w:abstractNumId w:val="9"/>
  </w:num>
  <w:num w:numId="23" w16cid:durableId="82577472">
    <w:abstractNumId w:val="20"/>
  </w:num>
  <w:num w:numId="24" w16cid:durableId="86966750">
    <w:abstractNumId w:val="23"/>
  </w:num>
  <w:num w:numId="25" w16cid:durableId="830102845">
    <w:abstractNumId w:val="7"/>
  </w:num>
  <w:num w:numId="26" w16cid:durableId="1952398545">
    <w:abstractNumId w:val="21"/>
  </w:num>
  <w:num w:numId="27" w16cid:durableId="2033796245">
    <w:abstractNumId w:val="2"/>
  </w:num>
  <w:num w:numId="28" w16cid:durableId="177962843">
    <w:abstractNumId w:val="14"/>
  </w:num>
  <w:num w:numId="29" w16cid:durableId="14463155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1MzMwNjQwMDSxMDJU0lEKTi0uzszPAykwNK8FAFTlcYQtAAAA"/>
  </w:docVars>
  <w:rsids>
    <w:rsidRoot w:val="008D1762"/>
    <w:rsid w:val="00021D25"/>
    <w:rsid w:val="00045631"/>
    <w:rsid w:val="00046FC0"/>
    <w:rsid w:val="00053456"/>
    <w:rsid w:val="00063362"/>
    <w:rsid w:val="000E2026"/>
    <w:rsid w:val="000E48B0"/>
    <w:rsid w:val="001348FA"/>
    <w:rsid w:val="00145691"/>
    <w:rsid w:val="00150AF4"/>
    <w:rsid w:val="00177A24"/>
    <w:rsid w:val="00184B70"/>
    <w:rsid w:val="001B4DDE"/>
    <w:rsid w:val="001C74FD"/>
    <w:rsid w:val="00216850"/>
    <w:rsid w:val="00220497"/>
    <w:rsid w:val="0027079D"/>
    <w:rsid w:val="002B6BE1"/>
    <w:rsid w:val="002C5D6B"/>
    <w:rsid w:val="00370D62"/>
    <w:rsid w:val="00381F58"/>
    <w:rsid w:val="003A64FB"/>
    <w:rsid w:val="00451AB7"/>
    <w:rsid w:val="00451E59"/>
    <w:rsid w:val="004545D8"/>
    <w:rsid w:val="004E56DC"/>
    <w:rsid w:val="00513DAC"/>
    <w:rsid w:val="00536140"/>
    <w:rsid w:val="00553370"/>
    <w:rsid w:val="005878D3"/>
    <w:rsid w:val="005A450A"/>
    <w:rsid w:val="005A5A32"/>
    <w:rsid w:val="005A6AF6"/>
    <w:rsid w:val="005B09E5"/>
    <w:rsid w:val="005C7C27"/>
    <w:rsid w:val="006002CD"/>
    <w:rsid w:val="00602EFB"/>
    <w:rsid w:val="00606FD8"/>
    <w:rsid w:val="006538DF"/>
    <w:rsid w:val="00671954"/>
    <w:rsid w:val="00705E4F"/>
    <w:rsid w:val="007252F8"/>
    <w:rsid w:val="00763E2C"/>
    <w:rsid w:val="007C40E4"/>
    <w:rsid w:val="008158BF"/>
    <w:rsid w:val="008314CF"/>
    <w:rsid w:val="00855855"/>
    <w:rsid w:val="0086174D"/>
    <w:rsid w:val="00863CC1"/>
    <w:rsid w:val="00876ADD"/>
    <w:rsid w:val="00887023"/>
    <w:rsid w:val="008D1762"/>
    <w:rsid w:val="008F38B5"/>
    <w:rsid w:val="00921D4F"/>
    <w:rsid w:val="00946532"/>
    <w:rsid w:val="00955380"/>
    <w:rsid w:val="00963FDC"/>
    <w:rsid w:val="00976AD5"/>
    <w:rsid w:val="009F7749"/>
    <w:rsid w:val="00A222E7"/>
    <w:rsid w:val="00A25F51"/>
    <w:rsid w:val="00A5077F"/>
    <w:rsid w:val="00A55266"/>
    <w:rsid w:val="00A5597B"/>
    <w:rsid w:val="00A67B2A"/>
    <w:rsid w:val="00AA325B"/>
    <w:rsid w:val="00AA6CD7"/>
    <w:rsid w:val="00AD6442"/>
    <w:rsid w:val="00B170F9"/>
    <w:rsid w:val="00B23911"/>
    <w:rsid w:val="00B41219"/>
    <w:rsid w:val="00B56C89"/>
    <w:rsid w:val="00B576B8"/>
    <w:rsid w:val="00B702FC"/>
    <w:rsid w:val="00BA5FAC"/>
    <w:rsid w:val="00C067AF"/>
    <w:rsid w:val="00C14718"/>
    <w:rsid w:val="00C25435"/>
    <w:rsid w:val="00C27CCB"/>
    <w:rsid w:val="00C35BFE"/>
    <w:rsid w:val="00C67866"/>
    <w:rsid w:val="00C8246B"/>
    <w:rsid w:val="00C8652A"/>
    <w:rsid w:val="00C902BA"/>
    <w:rsid w:val="00CA187F"/>
    <w:rsid w:val="00CA6CF1"/>
    <w:rsid w:val="00CB1AA1"/>
    <w:rsid w:val="00CE0801"/>
    <w:rsid w:val="00CE26CD"/>
    <w:rsid w:val="00D72B40"/>
    <w:rsid w:val="00DC0918"/>
    <w:rsid w:val="00DE5A00"/>
    <w:rsid w:val="00E57E59"/>
    <w:rsid w:val="00E7555C"/>
    <w:rsid w:val="00E802DC"/>
    <w:rsid w:val="00EE4E4E"/>
    <w:rsid w:val="00EF13A3"/>
    <w:rsid w:val="00F35933"/>
    <w:rsid w:val="00F459ED"/>
    <w:rsid w:val="00F875E8"/>
    <w:rsid w:val="00FA5A0B"/>
    <w:rsid w:val="00FA6835"/>
    <w:rsid w:val="00FC018B"/>
    <w:rsid w:val="00FC4CC9"/>
    <w:rsid w:val="00FD7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B4698A"/>
  <w15:chartTrackingRefBased/>
  <w15:docId w15:val="{5D9B8CF6-72E2-4B10-A82F-A96BA473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AA1"/>
  </w:style>
  <w:style w:type="paragraph" w:styleId="Heading1">
    <w:name w:val="heading 1"/>
    <w:basedOn w:val="Normal"/>
    <w:next w:val="Normal"/>
    <w:link w:val="Heading1Char"/>
    <w:uiPriority w:val="9"/>
    <w:qFormat/>
    <w:rsid w:val="00DE5A00"/>
    <w:pPr>
      <w:outlineLvl w:val="0"/>
    </w:pPr>
    <w:rPr>
      <w:b/>
      <w:u w:val="single"/>
    </w:rPr>
  </w:style>
  <w:style w:type="paragraph" w:styleId="Heading2">
    <w:name w:val="heading 2"/>
    <w:basedOn w:val="Normal"/>
    <w:next w:val="Normal"/>
    <w:link w:val="Heading2Char"/>
    <w:uiPriority w:val="9"/>
    <w:unhideWhenUsed/>
    <w:qFormat/>
    <w:rsid w:val="00705E4F"/>
    <w:pPr>
      <w:outlineLvl w:val="1"/>
    </w:pPr>
    <w:rPr>
      <w:b/>
    </w:rPr>
  </w:style>
  <w:style w:type="paragraph" w:styleId="Heading3">
    <w:name w:val="heading 3"/>
    <w:basedOn w:val="Normal"/>
    <w:next w:val="Normal"/>
    <w:link w:val="Heading3Char"/>
    <w:uiPriority w:val="9"/>
    <w:unhideWhenUsed/>
    <w:qFormat/>
    <w:rsid w:val="00705E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uiPriority w:val="9"/>
    <w:semiHidden/>
    <w:unhideWhenUsed/>
    <w:qFormat/>
    <w:rsid w:val="00976AD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762"/>
    <w:pPr>
      <w:ind w:left="720"/>
      <w:contextualSpacing/>
    </w:pPr>
  </w:style>
  <w:style w:type="character" w:styleId="Hyperlink">
    <w:name w:val="Hyperlink"/>
    <w:basedOn w:val="DefaultParagraphFont"/>
    <w:uiPriority w:val="99"/>
    <w:unhideWhenUsed/>
    <w:rsid w:val="008D1762"/>
    <w:rPr>
      <w:color w:val="0563C1" w:themeColor="hyperlink"/>
      <w:u w:val="single"/>
    </w:rPr>
  </w:style>
  <w:style w:type="character" w:styleId="UnresolvedMention">
    <w:name w:val="Unresolved Mention"/>
    <w:basedOn w:val="DefaultParagraphFont"/>
    <w:uiPriority w:val="99"/>
    <w:semiHidden/>
    <w:unhideWhenUsed/>
    <w:rsid w:val="008D1762"/>
    <w:rPr>
      <w:color w:val="605E5C"/>
      <w:shd w:val="clear" w:color="auto" w:fill="E1DFDD"/>
    </w:rPr>
  </w:style>
  <w:style w:type="character" w:customStyle="1" w:styleId="Heading1Char">
    <w:name w:val="Heading 1 Char"/>
    <w:basedOn w:val="DefaultParagraphFont"/>
    <w:link w:val="Heading1"/>
    <w:uiPriority w:val="9"/>
    <w:rsid w:val="00DE5A00"/>
    <w:rPr>
      <w:b/>
      <w:u w:val="single"/>
    </w:rPr>
  </w:style>
  <w:style w:type="character" w:customStyle="1" w:styleId="Heading2Char">
    <w:name w:val="Heading 2 Char"/>
    <w:basedOn w:val="DefaultParagraphFont"/>
    <w:link w:val="Heading2"/>
    <w:uiPriority w:val="9"/>
    <w:rsid w:val="00705E4F"/>
    <w:rPr>
      <w:b/>
    </w:rPr>
  </w:style>
  <w:style w:type="paragraph" w:customStyle="1" w:styleId="ThesisNormal">
    <w:name w:val="Thesis Normal"/>
    <w:basedOn w:val="Normal"/>
    <w:qFormat/>
    <w:rsid w:val="00184B70"/>
    <w:pPr>
      <w:spacing w:after="560" w:line="480" w:lineRule="auto"/>
      <w:ind w:firstLine="720"/>
      <w:contextualSpacing/>
    </w:pPr>
    <w:rPr>
      <w:rFonts w:ascii="Times New Roman" w:hAnsi="Times New Roman"/>
      <w:sz w:val="24"/>
    </w:rPr>
  </w:style>
  <w:style w:type="paragraph" w:styleId="Caption">
    <w:name w:val="caption"/>
    <w:basedOn w:val="Normal"/>
    <w:next w:val="Normal"/>
    <w:uiPriority w:val="35"/>
    <w:unhideWhenUsed/>
    <w:qFormat/>
    <w:rsid w:val="00671954"/>
    <w:pPr>
      <w:spacing w:after="200" w:line="240" w:lineRule="auto"/>
    </w:pPr>
    <w:rPr>
      <w:i/>
      <w:iCs/>
      <w:color w:val="44546A" w:themeColor="text2"/>
      <w:sz w:val="18"/>
      <w:szCs w:val="18"/>
    </w:rPr>
  </w:style>
  <w:style w:type="character" w:styleId="Strong">
    <w:name w:val="Strong"/>
    <w:basedOn w:val="DefaultParagraphFont"/>
    <w:uiPriority w:val="22"/>
    <w:qFormat/>
    <w:rsid w:val="00C8246B"/>
    <w:rPr>
      <w:b/>
      <w:bCs/>
    </w:rPr>
  </w:style>
  <w:style w:type="character" w:customStyle="1" w:styleId="Heading3Char">
    <w:name w:val="Heading 3 Char"/>
    <w:basedOn w:val="DefaultParagraphFont"/>
    <w:link w:val="Heading3"/>
    <w:uiPriority w:val="9"/>
    <w:rsid w:val="00705E4F"/>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7C4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7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4FD"/>
  </w:style>
  <w:style w:type="paragraph" w:styleId="Footer">
    <w:name w:val="footer"/>
    <w:basedOn w:val="Normal"/>
    <w:link w:val="FooterChar"/>
    <w:uiPriority w:val="99"/>
    <w:unhideWhenUsed/>
    <w:rsid w:val="001C7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4FD"/>
  </w:style>
  <w:style w:type="character" w:customStyle="1" w:styleId="Heading8Char">
    <w:name w:val="Heading 8 Char"/>
    <w:basedOn w:val="DefaultParagraphFont"/>
    <w:link w:val="Heading8"/>
    <w:uiPriority w:val="9"/>
    <w:semiHidden/>
    <w:rsid w:val="00976AD5"/>
    <w:rPr>
      <w:rFonts w:asciiTheme="majorHAnsi" w:eastAsiaTheme="majorEastAsia" w:hAnsiTheme="majorHAnsi" w:cstheme="majorBidi"/>
      <w:color w:val="272727" w:themeColor="text1" w:themeTint="D8"/>
      <w:sz w:val="21"/>
      <w:szCs w:val="21"/>
    </w:rPr>
  </w:style>
  <w:style w:type="paragraph" w:customStyle="1" w:styleId="Default">
    <w:name w:val="Default"/>
    <w:rsid w:val="0014569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3859">
      <w:bodyDiv w:val="1"/>
      <w:marLeft w:val="0"/>
      <w:marRight w:val="0"/>
      <w:marTop w:val="0"/>
      <w:marBottom w:val="0"/>
      <w:divBdr>
        <w:top w:val="none" w:sz="0" w:space="0" w:color="auto"/>
        <w:left w:val="none" w:sz="0" w:space="0" w:color="auto"/>
        <w:bottom w:val="none" w:sz="0" w:space="0" w:color="auto"/>
        <w:right w:val="none" w:sz="0" w:space="0" w:color="auto"/>
      </w:divBdr>
    </w:div>
    <w:div w:id="167212966">
      <w:bodyDiv w:val="1"/>
      <w:marLeft w:val="0"/>
      <w:marRight w:val="0"/>
      <w:marTop w:val="0"/>
      <w:marBottom w:val="0"/>
      <w:divBdr>
        <w:top w:val="none" w:sz="0" w:space="0" w:color="auto"/>
        <w:left w:val="none" w:sz="0" w:space="0" w:color="auto"/>
        <w:bottom w:val="none" w:sz="0" w:space="0" w:color="auto"/>
        <w:right w:val="none" w:sz="0" w:space="0" w:color="auto"/>
      </w:divBdr>
      <w:divsChild>
        <w:div w:id="1887641976">
          <w:marLeft w:val="0"/>
          <w:marRight w:val="0"/>
          <w:marTop w:val="0"/>
          <w:marBottom w:val="0"/>
          <w:divBdr>
            <w:top w:val="none" w:sz="0" w:space="0" w:color="auto"/>
            <w:left w:val="none" w:sz="0" w:space="0" w:color="auto"/>
            <w:bottom w:val="none" w:sz="0" w:space="0" w:color="auto"/>
            <w:right w:val="none" w:sz="0" w:space="0" w:color="auto"/>
          </w:divBdr>
        </w:div>
        <w:div w:id="694035152">
          <w:marLeft w:val="0"/>
          <w:marRight w:val="0"/>
          <w:marTop w:val="0"/>
          <w:marBottom w:val="0"/>
          <w:divBdr>
            <w:top w:val="none" w:sz="0" w:space="0" w:color="auto"/>
            <w:left w:val="none" w:sz="0" w:space="0" w:color="auto"/>
            <w:bottom w:val="none" w:sz="0" w:space="0" w:color="auto"/>
            <w:right w:val="none" w:sz="0" w:space="0" w:color="auto"/>
          </w:divBdr>
          <w:divsChild>
            <w:div w:id="481696355">
              <w:marLeft w:val="0"/>
              <w:marRight w:val="0"/>
              <w:marTop w:val="0"/>
              <w:marBottom w:val="0"/>
              <w:divBdr>
                <w:top w:val="none" w:sz="0" w:space="0" w:color="auto"/>
                <w:left w:val="none" w:sz="0" w:space="0" w:color="auto"/>
                <w:bottom w:val="none" w:sz="0" w:space="0" w:color="auto"/>
                <w:right w:val="none" w:sz="0" w:space="0" w:color="auto"/>
              </w:divBdr>
            </w:div>
            <w:div w:id="16502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520">
      <w:bodyDiv w:val="1"/>
      <w:marLeft w:val="0"/>
      <w:marRight w:val="0"/>
      <w:marTop w:val="0"/>
      <w:marBottom w:val="0"/>
      <w:divBdr>
        <w:top w:val="none" w:sz="0" w:space="0" w:color="auto"/>
        <w:left w:val="none" w:sz="0" w:space="0" w:color="auto"/>
        <w:bottom w:val="none" w:sz="0" w:space="0" w:color="auto"/>
        <w:right w:val="none" w:sz="0" w:space="0" w:color="auto"/>
      </w:divBdr>
    </w:div>
    <w:div w:id="303047663">
      <w:bodyDiv w:val="1"/>
      <w:marLeft w:val="0"/>
      <w:marRight w:val="0"/>
      <w:marTop w:val="0"/>
      <w:marBottom w:val="0"/>
      <w:divBdr>
        <w:top w:val="none" w:sz="0" w:space="0" w:color="auto"/>
        <w:left w:val="none" w:sz="0" w:space="0" w:color="auto"/>
        <w:bottom w:val="none" w:sz="0" w:space="0" w:color="auto"/>
        <w:right w:val="none" w:sz="0" w:space="0" w:color="auto"/>
      </w:divBdr>
      <w:divsChild>
        <w:div w:id="1896155628">
          <w:marLeft w:val="0"/>
          <w:marRight w:val="0"/>
          <w:marTop w:val="0"/>
          <w:marBottom w:val="0"/>
          <w:divBdr>
            <w:top w:val="none" w:sz="0" w:space="0" w:color="auto"/>
            <w:left w:val="none" w:sz="0" w:space="0" w:color="auto"/>
            <w:bottom w:val="none" w:sz="0" w:space="0" w:color="auto"/>
            <w:right w:val="none" w:sz="0" w:space="0" w:color="auto"/>
          </w:divBdr>
          <w:divsChild>
            <w:div w:id="1995835470">
              <w:marLeft w:val="0"/>
              <w:marRight w:val="0"/>
              <w:marTop w:val="0"/>
              <w:marBottom w:val="0"/>
              <w:divBdr>
                <w:top w:val="none" w:sz="0" w:space="0" w:color="auto"/>
                <w:left w:val="none" w:sz="0" w:space="0" w:color="auto"/>
                <w:bottom w:val="none" w:sz="0" w:space="0" w:color="auto"/>
                <w:right w:val="none" w:sz="0" w:space="0" w:color="auto"/>
              </w:divBdr>
            </w:div>
            <w:div w:id="278801228">
              <w:marLeft w:val="0"/>
              <w:marRight w:val="0"/>
              <w:marTop w:val="0"/>
              <w:marBottom w:val="0"/>
              <w:divBdr>
                <w:top w:val="none" w:sz="0" w:space="0" w:color="auto"/>
                <w:left w:val="none" w:sz="0" w:space="0" w:color="auto"/>
                <w:bottom w:val="none" w:sz="0" w:space="0" w:color="auto"/>
                <w:right w:val="none" w:sz="0" w:space="0" w:color="auto"/>
              </w:divBdr>
            </w:div>
            <w:div w:id="78798727">
              <w:marLeft w:val="0"/>
              <w:marRight w:val="0"/>
              <w:marTop w:val="0"/>
              <w:marBottom w:val="0"/>
              <w:divBdr>
                <w:top w:val="none" w:sz="0" w:space="0" w:color="auto"/>
                <w:left w:val="none" w:sz="0" w:space="0" w:color="auto"/>
                <w:bottom w:val="none" w:sz="0" w:space="0" w:color="auto"/>
                <w:right w:val="none" w:sz="0" w:space="0" w:color="auto"/>
              </w:divBdr>
            </w:div>
            <w:div w:id="1551114071">
              <w:marLeft w:val="0"/>
              <w:marRight w:val="0"/>
              <w:marTop w:val="0"/>
              <w:marBottom w:val="0"/>
              <w:divBdr>
                <w:top w:val="none" w:sz="0" w:space="0" w:color="auto"/>
                <w:left w:val="none" w:sz="0" w:space="0" w:color="auto"/>
                <w:bottom w:val="none" w:sz="0" w:space="0" w:color="auto"/>
                <w:right w:val="none" w:sz="0" w:space="0" w:color="auto"/>
              </w:divBdr>
            </w:div>
            <w:div w:id="1623682058">
              <w:marLeft w:val="0"/>
              <w:marRight w:val="0"/>
              <w:marTop w:val="0"/>
              <w:marBottom w:val="0"/>
              <w:divBdr>
                <w:top w:val="none" w:sz="0" w:space="0" w:color="auto"/>
                <w:left w:val="none" w:sz="0" w:space="0" w:color="auto"/>
                <w:bottom w:val="none" w:sz="0" w:space="0" w:color="auto"/>
                <w:right w:val="none" w:sz="0" w:space="0" w:color="auto"/>
              </w:divBdr>
            </w:div>
            <w:div w:id="1750035590">
              <w:marLeft w:val="0"/>
              <w:marRight w:val="0"/>
              <w:marTop w:val="0"/>
              <w:marBottom w:val="0"/>
              <w:divBdr>
                <w:top w:val="none" w:sz="0" w:space="0" w:color="auto"/>
                <w:left w:val="none" w:sz="0" w:space="0" w:color="auto"/>
                <w:bottom w:val="none" w:sz="0" w:space="0" w:color="auto"/>
                <w:right w:val="none" w:sz="0" w:space="0" w:color="auto"/>
              </w:divBdr>
            </w:div>
          </w:divsChild>
        </w:div>
        <w:div w:id="2067145206">
          <w:marLeft w:val="0"/>
          <w:marRight w:val="0"/>
          <w:marTop w:val="75"/>
          <w:marBottom w:val="225"/>
          <w:divBdr>
            <w:top w:val="none" w:sz="0" w:space="0" w:color="auto"/>
            <w:left w:val="none" w:sz="0" w:space="0" w:color="auto"/>
            <w:bottom w:val="none" w:sz="0" w:space="0" w:color="auto"/>
            <w:right w:val="none" w:sz="0" w:space="0" w:color="auto"/>
          </w:divBdr>
          <w:divsChild>
            <w:div w:id="1987586971">
              <w:marLeft w:val="0"/>
              <w:marRight w:val="0"/>
              <w:marTop w:val="0"/>
              <w:marBottom w:val="0"/>
              <w:divBdr>
                <w:top w:val="none" w:sz="0" w:space="0" w:color="auto"/>
                <w:left w:val="none" w:sz="0" w:space="0" w:color="auto"/>
                <w:bottom w:val="none" w:sz="0" w:space="0" w:color="auto"/>
                <w:right w:val="none" w:sz="0" w:space="0" w:color="auto"/>
              </w:divBdr>
              <w:divsChild>
                <w:div w:id="980188669">
                  <w:marLeft w:val="0"/>
                  <w:marRight w:val="0"/>
                  <w:marTop w:val="0"/>
                  <w:marBottom w:val="0"/>
                  <w:divBdr>
                    <w:top w:val="none" w:sz="0" w:space="0" w:color="auto"/>
                    <w:left w:val="none" w:sz="0" w:space="0" w:color="auto"/>
                    <w:bottom w:val="none" w:sz="0" w:space="0" w:color="auto"/>
                    <w:right w:val="none" w:sz="0" w:space="0" w:color="auto"/>
                  </w:divBdr>
                  <w:divsChild>
                    <w:div w:id="849032355">
                      <w:marLeft w:val="0"/>
                      <w:marRight w:val="0"/>
                      <w:marTop w:val="0"/>
                      <w:marBottom w:val="0"/>
                      <w:divBdr>
                        <w:top w:val="none" w:sz="0" w:space="0" w:color="auto"/>
                        <w:left w:val="none" w:sz="0" w:space="0" w:color="auto"/>
                        <w:bottom w:val="none" w:sz="0" w:space="0" w:color="auto"/>
                        <w:right w:val="none" w:sz="0" w:space="0" w:color="auto"/>
                      </w:divBdr>
                    </w:div>
                    <w:div w:id="1825660225">
                      <w:marLeft w:val="195"/>
                      <w:marRight w:val="0"/>
                      <w:marTop w:val="0"/>
                      <w:marBottom w:val="0"/>
                      <w:divBdr>
                        <w:top w:val="none" w:sz="0" w:space="0" w:color="auto"/>
                        <w:left w:val="none" w:sz="0" w:space="0" w:color="auto"/>
                        <w:bottom w:val="none" w:sz="0" w:space="0" w:color="auto"/>
                        <w:right w:val="none" w:sz="0" w:space="0" w:color="auto"/>
                      </w:divBdr>
                    </w:div>
                  </w:divsChild>
                </w:div>
                <w:div w:id="469445899">
                  <w:marLeft w:val="0"/>
                  <w:marRight w:val="0"/>
                  <w:marTop w:val="0"/>
                  <w:marBottom w:val="0"/>
                  <w:divBdr>
                    <w:top w:val="none" w:sz="0" w:space="0" w:color="auto"/>
                    <w:left w:val="none" w:sz="0" w:space="0" w:color="auto"/>
                    <w:bottom w:val="none" w:sz="0" w:space="0" w:color="auto"/>
                    <w:right w:val="none" w:sz="0" w:space="0" w:color="auto"/>
                  </w:divBdr>
                  <w:divsChild>
                    <w:div w:id="1998071291">
                      <w:marLeft w:val="0"/>
                      <w:marRight w:val="0"/>
                      <w:marTop w:val="0"/>
                      <w:marBottom w:val="0"/>
                      <w:divBdr>
                        <w:top w:val="none" w:sz="0" w:space="0" w:color="auto"/>
                        <w:left w:val="none" w:sz="0" w:space="0" w:color="auto"/>
                        <w:bottom w:val="none" w:sz="0" w:space="0" w:color="auto"/>
                        <w:right w:val="none" w:sz="0" w:space="0" w:color="auto"/>
                      </w:divBdr>
                    </w:div>
                    <w:div w:id="693119210">
                      <w:marLeft w:val="195"/>
                      <w:marRight w:val="0"/>
                      <w:marTop w:val="0"/>
                      <w:marBottom w:val="0"/>
                      <w:divBdr>
                        <w:top w:val="none" w:sz="0" w:space="0" w:color="auto"/>
                        <w:left w:val="none" w:sz="0" w:space="0" w:color="auto"/>
                        <w:bottom w:val="none" w:sz="0" w:space="0" w:color="auto"/>
                        <w:right w:val="none" w:sz="0" w:space="0" w:color="auto"/>
                      </w:divBdr>
                    </w:div>
                  </w:divsChild>
                </w:div>
                <w:div w:id="1307778980">
                  <w:marLeft w:val="0"/>
                  <w:marRight w:val="0"/>
                  <w:marTop w:val="0"/>
                  <w:marBottom w:val="0"/>
                  <w:divBdr>
                    <w:top w:val="none" w:sz="0" w:space="0" w:color="auto"/>
                    <w:left w:val="none" w:sz="0" w:space="0" w:color="auto"/>
                    <w:bottom w:val="none" w:sz="0" w:space="0" w:color="auto"/>
                    <w:right w:val="none" w:sz="0" w:space="0" w:color="auto"/>
                  </w:divBdr>
                  <w:divsChild>
                    <w:div w:id="402871880">
                      <w:marLeft w:val="0"/>
                      <w:marRight w:val="0"/>
                      <w:marTop w:val="0"/>
                      <w:marBottom w:val="0"/>
                      <w:divBdr>
                        <w:top w:val="none" w:sz="0" w:space="0" w:color="auto"/>
                        <w:left w:val="none" w:sz="0" w:space="0" w:color="auto"/>
                        <w:bottom w:val="none" w:sz="0" w:space="0" w:color="auto"/>
                        <w:right w:val="none" w:sz="0" w:space="0" w:color="auto"/>
                      </w:divBdr>
                    </w:div>
                    <w:div w:id="513611453">
                      <w:marLeft w:val="195"/>
                      <w:marRight w:val="0"/>
                      <w:marTop w:val="0"/>
                      <w:marBottom w:val="0"/>
                      <w:divBdr>
                        <w:top w:val="none" w:sz="0" w:space="0" w:color="auto"/>
                        <w:left w:val="none" w:sz="0" w:space="0" w:color="auto"/>
                        <w:bottom w:val="none" w:sz="0" w:space="0" w:color="auto"/>
                        <w:right w:val="none" w:sz="0" w:space="0" w:color="auto"/>
                      </w:divBdr>
                    </w:div>
                  </w:divsChild>
                </w:div>
                <w:div w:id="1942495083">
                  <w:marLeft w:val="0"/>
                  <w:marRight w:val="0"/>
                  <w:marTop w:val="0"/>
                  <w:marBottom w:val="0"/>
                  <w:divBdr>
                    <w:top w:val="none" w:sz="0" w:space="0" w:color="auto"/>
                    <w:left w:val="none" w:sz="0" w:space="0" w:color="auto"/>
                    <w:bottom w:val="none" w:sz="0" w:space="0" w:color="auto"/>
                    <w:right w:val="none" w:sz="0" w:space="0" w:color="auto"/>
                  </w:divBdr>
                  <w:divsChild>
                    <w:div w:id="1727684678">
                      <w:marLeft w:val="0"/>
                      <w:marRight w:val="0"/>
                      <w:marTop w:val="0"/>
                      <w:marBottom w:val="0"/>
                      <w:divBdr>
                        <w:top w:val="none" w:sz="0" w:space="0" w:color="auto"/>
                        <w:left w:val="none" w:sz="0" w:space="0" w:color="auto"/>
                        <w:bottom w:val="none" w:sz="0" w:space="0" w:color="auto"/>
                        <w:right w:val="none" w:sz="0" w:space="0" w:color="auto"/>
                      </w:divBdr>
                    </w:div>
                    <w:div w:id="198518599">
                      <w:marLeft w:val="195"/>
                      <w:marRight w:val="0"/>
                      <w:marTop w:val="0"/>
                      <w:marBottom w:val="0"/>
                      <w:divBdr>
                        <w:top w:val="none" w:sz="0" w:space="0" w:color="auto"/>
                        <w:left w:val="none" w:sz="0" w:space="0" w:color="auto"/>
                        <w:bottom w:val="none" w:sz="0" w:space="0" w:color="auto"/>
                        <w:right w:val="none" w:sz="0" w:space="0" w:color="auto"/>
                      </w:divBdr>
                    </w:div>
                  </w:divsChild>
                </w:div>
                <w:div w:id="1414469451">
                  <w:marLeft w:val="0"/>
                  <w:marRight w:val="0"/>
                  <w:marTop w:val="0"/>
                  <w:marBottom w:val="0"/>
                  <w:divBdr>
                    <w:top w:val="none" w:sz="0" w:space="0" w:color="auto"/>
                    <w:left w:val="none" w:sz="0" w:space="0" w:color="auto"/>
                    <w:bottom w:val="none" w:sz="0" w:space="0" w:color="auto"/>
                    <w:right w:val="none" w:sz="0" w:space="0" w:color="auto"/>
                  </w:divBdr>
                  <w:divsChild>
                    <w:div w:id="1784227398">
                      <w:marLeft w:val="0"/>
                      <w:marRight w:val="0"/>
                      <w:marTop w:val="0"/>
                      <w:marBottom w:val="0"/>
                      <w:divBdr>
                        <w:top w:val="none" w:sz="0" w:space="0" w:color="auto"/>
                        <w:left w:val="none" w:sz="0" w:space="0" w:color="auto"/>
                        <w:bottom w:val="none" w:sz="0" w:space="0" w:color="auto"/>
                        <w:right w:val="none" w:sz="0" w:space="0" w:color="auto"/>
                      </w:divBdr>
                    </w:div>
                    <w:div w:id="1478188264">
                      <w:marLeft w:val="195"/>
                      <w:marRight w:val="0"/>
                      <w:marTop w:val="0"/>
                      <w:marBottom w:val="0"/>
                      <w:divBdr>
                        <w:top w:val="none" w:sz="0" w:space="0" w:color="auto"/>
                        <w:left w:val="none" w:sz="0" w:space="0" w:color="auto"/>
                        <w:bottom w:val="none" w:sz="0" w:space="0" w:color="auto"/>
                        <w:right w:val="none" w:sz="0" w:space="0" w:color="auto"/>
                      </w:divBdr>
                    </w:div>
                  </w:divsChild>
                </w:div>
                <w:div w:id="524103720">
                  <w:marLeft w:val="0"/>
                  <w:marRight w:val="0"/>
                  <w:marTop w:val="0"/>
                  <w:marBottom w:val="0"/>
                  <w:divBdr>
                    <w:top w:val="none" w:sz="0" w:space="0" w:color="auto"/>
                    <w:left w:val="none" w:sz="0" w:space="0" w:color="auto"/>
                    <w:bottom w:val="none" w:sz="0" w:space="0" w:color="auto"/>
                    <w:right w:val="none" w:sz="0" w:space="0" w:color="auto"/>
                  </w:divBdr>
                  <w:divsChild>
                    <w:div w:id="388578503">
                      <w:marLeft w:val="0"/>
                      <w:marRight w:val="0"/>
                      <w:marTop w:val="0"/>
                      <w:marBottom w:val="0"/>
                      <w:divBdr>
                        <w:top w:val="none" w:sz="0" w:space="0" w:color="auto"/>
                        <w:left w:val="none" w:sz="0" w:space="0" w:color="auto"/>
                        <w:bottom w:val="none" w:sz="0" w:space="0" w:color="auto"/>
                        <w:right w:val="none" w:sz="0" w:space="0" w:color="auto"/>
                      </w:divBdr>
                    </w:div>
                    <w:div w:id="759301511">
                      <w:marLeft w:val="195"/>
                      <w:marRight w:val="0"/>
                      <w:marTop w:val="0"/>
                      <w:marBottom w:val="0"/>
                      <w:divBdr>
                        <w:top w:val="none" w:sz="0" w:space="0" w:color="auto"/>
                        <w:left w:val="none" w:sz="0" w:space="0" w:color="auto"/>
                        <w:bottom w:val="none" w:sz="0" w:space="0" w:color="auto"/>
                        <w:right w:val="none" w:sz="0" w:space="0" w:color="auto"/>
                      </w:divBdr>
                    </w:div>
                  </w:divsChild>
                </w:div>
                <w:div w:id="1953440116">
                  <w:marLeft w:val="0"/>
                  <w:marRight w:val="0"/>
                  <w:marTop w:val="0"/>
                  <w:marBottom w:val="0"/>
                  <w:divBdr>
                    <w:top w:val="none" w:sz="0" w:space="0" w:color="auto"/>
                    <w:left w:val="none" w:sz="0" w:space="0" w:color="auto"/>
                    <w:bottom w:val="none" w:sz="0" w:space="0" w:color="auto"/>
                    <w:right w:val="none" w:sz="0" w:space="0" w:color="auto"/>
                  </w:divBdr>
                  <w:divsChild>
                    <w:div w:id="336034161">
                      <w:marLeft w:val="0"/>
                      <w:marRight w:val="0"/>
                      <w:marTop w:val="0"/>
                      <w:marBottom w:val="0"/>
                      <w:divBdr>
                        <w:top w:val="none" w:sz="0" w:space="0" w:color="auto"/>
                        <w:left w:val="none" w:sz="0" w:space="0" w:color="auto"/>
                        <w:bottom w:val="none" w:sz="0" w:space="0" w:color="auto"/>
                        <w:right w:val="none" w:sz="0" w:space="0" w:color="auto"/>
                      </w:divBdr>
                    </w:div>
                    <w:div w:id="99690341">
                      <w:marLeft w:val="195"/>
                      <w:marRight w:val="0"/>
                      <w:marTop w:val="0"/>
                      <w:marBottom w:val="0"/>
                      <w:divBdr>
                        <w:top w:val="none" w:sz="0" w:space="0" w:color="auto"/>
                        <w:left w:val="none" w:sz="0" w:space="0" w:color="auto"/>
                        <w:bottom w:val="none" w:sz="0" w:space="0" w:color="auto"/>
                        <w:right w:val="none" w:sz="0" w:space="0" w:color="auto"/>
                      </w:divBdr>
                    </w:div>
                  </w:divsChild>
                </w:div>
                <w:div w:id="1090394587">
                  <w:marLeft w:val="0"/>
                  <w:marRight w:val="0"/>
                  <w:marTop w:val="0"/>
                  <w:marBottom w:val="0"/>
                  <w:divBdr>
                    <w:top w:val="none" w:sz="0" w:space="0" w:color="auto"/>
                    <w:left w:val="none" w:sz="0" w:space="0" w:color="auto"/>
                    <w:bottom w:val="none" w:sz="0" w:space="0" w:color="auto"/>
                    <w:right w:val="none" w:sz="0" w:space="0" w:color="auto"/>
                  </w:divBdr>
                  <w:divsChild>
                    <w:div w:id="31851595">
                      <w:marLeft w:val="0"/>
                      <w:marRight w:val="0"/>
                      <w:marTop w:val="0"/>
                      <w:marBottom w:val="0"/>
                      <w:divBdr>
                        <w:top w:val="none" w:sz="0" w:space="0" w:color="auto"/>
                        <w:left w:val="none" w:sz="0" w:space="0" w:color="auto"/>
                        <w:bottom w:val="none" w:sz="0" w:space="0" w:color="auto"/>
                        <w:right w:val="none" w:sz="0" w:space="0" w:color="auto"/>
                      </w:divBdr>
                    </w:div>
                    <w:div w:id="825316950">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2771">
          <w:marLeft w:val="0"/>
          <w:marRight w:val="0"/>
          <w:marTop w:val="0"/>
          <w:marBottom w:val="150"/>
          <w:divBdr>
            <w:top w:val="none" w:sz="0" w:space="0" w:color="auto"/>
            <w:left w:val="none" w:sz="0" w:space="0" w:color="auto"/>
            <w:bottom w:val="none" w:sz="0" w:space="0" w:color="auto"/>
            <w:right w:val="none" w:sz="0" w:space="0" w:color="auto"/>
          </w:divBdr>
        </w:div>
      </w:divsChild>
    </w:div>
    <w:div w:id="447698056">
      <w:bodyDiv w:val="1"/>
      <w:marLeft w:val="0"/>
      <w:marRight w:val="0"/>
      <w:marTop w:val="0"/>
      <w:marBottom w:val="0"/>
      <w:divBdr>
        <w:top w:val="none" w:sz="0" w:space="0" w:color="auto"/>
        <w:left w:val="none" w:sz="0" w:space="0" w:color="auto"/>
        <w:bottom w:val="none" w:sz="0" w:space="0" w:color="auto"/>
        <w:right w:val="none" w:sz="0" w:space="0" w:color="auto"/>
      </w:divBdr>
    </w:div>
    <w:div w:id="628164261">
      <w:bodyDiv w:val="1"/>
      <w:marLeft w:val="0"/>
      <w:marRight w:val="0"/>
      <w:marTop w:val="0"/>
      <w:marBottom w:val="0"/>
      <w:divBdr>
        <w:top w:val="none" w:sz="0" w:space="0" w:color="auto"/>
        <w:left w:val="none" w:sz="0" w:space="0" w:color="auto"/>
        <w:bottom w:val="none" w:sz="0" w:space="0" w:color="auto"/>
        <w:right w:val="none" w:sz="0" w:space="0" w:color="auto"/>
      </w:divBdr>
    </w:div>
    <w:div w:id="664363147">
      <w:bodyDiv w:val="1"/>
      <w:marLeft w:val="0"/>
      <w:marRight w:val="0"/>
      <w:marTop w:val="0"/>
      <w:marBottom w:val="0"/>
      <w:divBdr>
        <w:top w:val="none" w:sz="0" w:space="0" w:color="auto"/>
        <w:left w:val="none" w:sz="0" w:space="0" w:color="auto"/>
        <w:bottom w:val="none" w:sz="0" w:space="0" w:color="auto"/>
        <w:right w:val="none" w:sz="0" w:space="0" w:color="auto"/>
      </w:divBdr>
    </w:div>
    <w:div w:id="1011222560">
      <w:bodyDiv w:val="1"/>
      <w:marLeft w:val="0"/>
      <w:marRight w:val="0"/>
      <w:marTop w:val="0"/>
      <w:marBottom w:val="0"/>
      <w:divBdr>
        <w:top w:val="none" w:sz="0" w:space="0" w:color="auto"/>
        <w:left w:val="none" w:sz="0" w:space="0" w:color="auto"/>
        <w:bottom w:val="none" w:sz="0" w:space="0" w:color="auto"/>
        <w:right w:val="none" w:sz="0" w:space="0" w:color="auto"/>
      </w:divBdr>
    </w:div>
    <w:div w:id="1533884776">
      <w:bodyDiv w:val="1"/>
      <w:marLeft w:val="0"/>
      <w:marRight w:val="0"/>
      <w:marTop w:val="0"/>
      <w:marBottom w:val="0"/>
      <w:divBdr>
        <w:top w:val="none" w:sz="0" w:space="0" w:color="auto"/>
        <w:left w:val="none" w:sz="0" w:space="0" w:color="auto"/>
        <w:bottom w:val="none" w:sz="0" w:space="0" w:color="auto"/>
        <w:right w:val="none" w:sz="0" w:space="0" w:color="auto"/>
      </w:divBdr>
    </w:div>
    <w:div w:id="180122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16/j.jece.2017.07.063"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155/2018/6801258"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51/matecconf/201927102002"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16/j" TargetMode="External"/><Relationship Id="rId28"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yperlink" Target="https://doi.org/10.1061/9780784412121.17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doi.org/10.1016/S0958-9465(00)00016-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19604</TotalTime>
  <Pages>12</Pages>
  <Words>4966</Words>
  <Characters>28311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Bartlett</dc:creator>
  <cp:keywords/>
  <dc:description/>
  <cp:lastModifiedBy>Steven Bartlett</cp:lastModifiedBy>
  <cp:revision>66</cp:revision>
  <dcterms:created xsi:type="dcterms:W3CDTF">2025-01-28T19:27:00Z</dcterms:created>
  <dcterms:modified xsi:type="dcterms:W3CDTF">2025-04-22T15:58:00Z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757945e03b41c659775d387019f8f6d4725be10385141d2b55b91f46318d9c3a</vt:lpwstr>
  </property>
</Properties>
</file>